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56"/>
        <w:tabs>
          <w:tab w:val="right" w:pos="9639"/>
        </w:tabs>
        <w:spacing w:after="0"/>
        <w:rPr>
          <w:rFonts w:hint="default" w:eastAsia="宋体"/>
          <w:b/>
          <w:i/>
          <w:sz w:val="28"/>
          <w:lang w:val="en-US" w:eastAsia="zh-CN"/>
        </w:rPr>
      </w:pPr>
      <w:bookmarkStart w:id="0" w:name="_GoBack"/>
      <w:bookmarkEnd w:id="0"/>
      <w:r>
        <w:rPr>
          <w:b/>
          <w:sz w:val="24"/>
          <w:lang/>
        </w:rPr>
        <w:t>3GPP TSG-SA5 Meeting #152</w:t>
      </w:r>
      <w:r>
        <w:rPr>
          <w:b/>
          <w:i/>
          <w:sz w:val="24"/>
          <w:lang/>
        </w:rPr>
        <w:t xml:space="preserve"> </w:t>
      </w:r>
      <w:r>
        <w:rPr>
          <w:b/>
          <w:i/>
          <w:sz w:val="28"/>
          <w:lang/>
        </w:rPr>
        <w:tab/>
      </w:r>
      <w:r>
        <w:rPr>
          <w:b/>
          <w:i/>
          <w:sz w:val="28"/>
          <w:lang/>
        </w:rPr>
        <w:t>S5-23</w:t>
      </w:r>
      <w:r>
        <w:rPr>
          <w:rFonts w:hint="eastAsia"/>
          <w:b/>
          <w:i/>
          <w:sz w:val="28"/>
          <w:lang w:val="en-US" w:eastAsia="zh-CN"/>
        </w:rPr>
        <w:t>7</w:t>
      </w:r>
      <w:r>
        <w:rPr>
          <w:rFonts w:hint="eastAsia"/>
          <w:b/>
          <w:i/>
          <w:sz w:val="28"/>
          <w:lang w:val="en-US" w:eastAsia="zh-CN"/>
        </w:rPr>
        <w:t>656</w:t>
      </w:r>
    </w:p>
    <w:p>
      <w:pPr>
        <w:pStyle w:val="62"/>
        <w:rPr>
          <w:sz w:val="22"/>
          <w:szCs w:val="22"/>
        </w:rPr>
      </w:pPr>
      <w:r>
        <w:rPr>
          <w:sz w:val="24"/>
        </w:rPr>
        <w:t>Chicago,US, 13-17 November 2023</w:t>
      </w:r>
    </w:p>
    <w:p>
      <w:pPr>
        <w:keepNext/>
        <w:pBdr>
          <w:bottom w:val="single" w:color="auto" w:sz="4" w:space="1"/>
        </w:pBdr>
        <w:tabs>
          <w:tab w:val="right" w:pos="9639"/>
        </w:tabs>
        <w:outlineLvl w:val="0"/>
        <w:rPr>
          <w:rFonts w:ascii="Arial" w:hAnsi="Arial" w:cs="Arial"/>
          <w:b/>
          <w:bCs/>
          <w:sz w:val="24"/>
        </w:rPr>
      </w:pPr>
    </w:p>
    <w:p>
      <w:pPr>
        <w:keepNext/>
        <w:tabs>
          <w:tab w:val="left" w:pos="2127"/>
        </w:tabs>
        <w:spacing w:after="0"/>
        <w:ind w:left="2126" w:hanging="2126"/>
        <w:outlineLvl w:val="0"/>
        <w:rPr>
          <w:rFonts w:hint="default" w:ascii="Arial" w:hAnsi="Arial" w:eastAsia="宋体"/>
          <w:b/>
          <w:lang w:val="en-US" w:eastAsia="zh-CN"/>
        </w:rPr>
      </w:pPr>
      <w:r>
        <w:rPr>
          <w:rFonts w:ascii="Arial" w:hAnsi="Arial"/>
          <w:b/>
          <w:lang w:val="en-US"/>
        </w:rPr>
        <w:t>Source:</w:t>
      </w:r>
      <w:r>
        <w:rPr>
          <w:rFonts w:ascii="Arial" w:hAnsi="Arial"/>
          <w:b/>
          <w:lang w:val="en-US"/>
        </w:rPr>
        <w:tab/>
      </w:r>
      <w:r>
        <w:rPr>
          <w:rFonts w:hint="eastAsia" w:ascii="Arial" w:hAnsi="Arial"/>
          <w:b/>
          <w:lang w:val="en-US" w:eastAsia="zh-CN"/>
        </w:rPr>
        <w:t>C</w:t>
      </w:r>
      <w:r>
        <w:rPr>
          <w:rFonts w:hint="eastAsia" w:ascii="Arial" w:hAnsi="Arial"/>
          <w:b/>
          <w:lang w:val="en-US" w:eastAsia="zh-CN"/>
        </w:rPr>
        <w:t>hina Unicom, Huawei</w:t>
      </w:r>
    </w:p>
    <w:p>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Pr>
          <w:rFonts w:ascii="Arial" w:hAnsi="Arial"/>
          <w:b/>
          <w:lang w:val="en-US"/>
        </w:rPr>
        <w:t>Discussion paper on charging requirements for 5WWC phase 2</w:t>
      </w:r>
    </w:p>
    <w:p>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Discussion and endorsement</w:t>
      </w:r>
    </w:p>
    <w:p>
      <w:pPr>
        <w:keepNext/>
        <w:pBdr>
          <w:bottom w:val="single" w:color="auto" w:sz="4" w:space="1"/>
        </w:pBdr>
        <w:tabs>
          <w:tab w:val="left" w:pos="2127"/>
        </w:tabs>
        <w:spacing w:after="0"/>
        <w:ind w:left="2126" w:hanging="2126"/>
        <w:rPr>
          <w:rFonts w:hint="default" w:ascii="Arial" w:hAnsi="Arial" w:eastAsia="宋体"/>
          <w:b/>
          <w:lang w:val="en-US" w:eastAsia="zh-CN"/>
        </w:rPr>
      </w:pPr>
      <w:r>
        <w:rPr>
          <w:rFonts w:ascii="Arial" w:hAnsi="Arial"/>
          <w:b/>
        </w:rPr>
        <w:t>Agenda Item:</w:t>
      </w:r>
      <w:r>
        <w:rPr>
          <w:rFonts w:ascii="Arial" w:hAnsi="Arial"/>
          <w:b/>
        </w:rPr>
        <w:tab/>
      </w:r>
      <w:r>
        <w:rPr>
          <w:rFonts w:hint="eastAsia" w:ascii="Arial" w:hAnsi="Arial"/>
          <w:b/>
          <w:lang w:val="en-US" w:eastAsia="zh-CN"/>
        </w:rPr>
        <w:t>7</w:t>
      </w:r>
      <w:r>
        <w:rPr>
          <w:rFonts w:hint="eastAsia" w:ascii="Arial" w:hAnsi="Arial"/>
          <w:b/>
          <w:lang w:val="en-US" w:eastAsia="zh-CN"/>
        </w:rPr>
        <w:t>.4.8</w:t>
      </w:r>
    </w:p>
    <w:p>
      <w:pPr>
        <w:pStyle w:val="3"/>
      </w:pPr>
      <w:r>
        <w:t>1</w:t>
      </w:r>
      <w:r>
        <w:tab/>
      </w:r>
      <w:r>
        <w:t>Decision/action requested</w:t>
      </w:r>
    </w:p>
    <w:p>
      <w:pPr>
        <w:pBdr>
          <w:top w:val="single" w:color="auto" w:sz="4" w:space="1"/>
          <w:left w:val="single" w:color="auto" w:sz="4" w:space="4"/>
          <w:bottom w:val="single" w:color="auto" w:sz="4" w:space="1"/>
          <w:right w:val="single" w:color="auto" w:sz="4" w:space="4"/>
        </w:pBdr>
        <w:shd w:val="clear" w:color="auto" w:fill="FFFF99"/>
        <w:jc w:val="center"/>
        <w:rPr>
          <w:rFonts w:hint="eastAsia"/>
          <w:lang w:eastAsia="zh-CN"/>
        </w:rPr>
      </w:pPr>
      <w:r>
        <w:rPr>
          <w:b/>
          <w:i/>
        </w:rPr>
        <w:t>In this box give a very clear / short /concise statement of what is wanted.</w:t>
      </w:r>
    </w:p>
    <w:p>
      <w:pPr>
        <w:pStyle w:val="3"/>
      </w:pPr>
      <w:r>
        <w:t>2</w:t>
      </w:r>
      <w:r>
        <w:tab/>
      </w:r>
      <w:r>
        <w:t>References</w:t>
      </w:r>
    </w:p>
    <w:p>
      <w:pPr>
        <w:rPr>
          <w:i/>
        </w:rPr>
      </w:pPr>
      <w:r>
        <w:rPr>
          <w:i/>
        </w:rPr>
        <w:t>(Reference - in list form - should be made to previous related SA5/3GPP/etc. documents.)</w:t>
      </w:r>
    </w:p>
    <w:p>
      <w:pPr>
        <w:rPr>
          <w:i/>
        </w:rPr>
      </w:pPr>
      <w:r>
        <w:rPr>
          <w:i/>
        </w:rPr>
        <w:t>(</w:t>
      </w:r>
      <w:r>
        <w:rPr>
          <w:rFonts w:hint="eastAsia"/>
          <w:i/>
          <w:lang w:eastAsia="zh-CN"/>
        </w:rPr>
        <w:t xml:space="preserve">For </w:t>
      </w:r>
      <w:r>
        <w:rPr>
          <w:i/>
          <w:lang w:eastAsia="zh-CN"/>
        </w:rPr>
        <w:t xml:space="preserve">changes </w:t>
      </w:r>
      <w:r>
        <w:rPr>
          <w:rFonts w:hint="eastAsia"/>
          <w:i/>
          <w:lang w:eastAsia="zh-CN"/>
        </w:rPr>
        <w:t>again</w:t>
      </w:r>
      <w:r>
        <w:rPr>
          <w:i/>
          <w:lang w:eastAsia="zh-CN"/>
        </w:rPr>
        <w:t>s</w:t>
      </w:r>
      <w:r>
        <w:rPr>
          <w:rFonts w:hint="eastAsia"/>
          <w:i/>
          <w:lang w:eastAsia="zh-CN"/>
        </w:rPr>
        <w:t xml:space="preserve">t a </w:t>
      </w:r>
      <w:r>
        <w:rPr>
          <w:i/>
          <w:lang w:eastAsia="zh-CN"/>
        </w:rPr>
        <w:t>draft</w:t>
      </w:r>
      <w:r>
        <w:rPr>
          <w:rFonts w:hint="eastAsia"/>
          <w:i/>
          <w:lang w:eastAsia="zh-CN"/>
        </w:rPr>
        <w:t xml:space="preserve"> TS/TR, </w:t>
      </w:r>
      <w:r>
        <w:rPr>
          <w:i/>
          <w:lang w:eastAsia="zh-CN"/>
        </w:rPr>
        <w:t>a</w:t>
      </w:r>
      <w:r>
        <w:rPr>
          <w:rFonts w:hint="eastAsia"/>
          <w:i/>
          <w:lang w:eastAsia="zh-CN"/>
        </w:rPr>
        <w:t xml:space="preserve"> pseudo CR</w:t>
      </w:r>
      <w:r>
        <w:rPr>
          <w:i/>
          <w:lang w:eastAsia="zh-CN"/>
        </w:rPr>
        <w:t xml:space="preserve"> - a.k.a. pCR - will be provided using this Tdoc template</w:t>
      </w:r>
      <w:r>
        <w:rPr>
          <w:rFonts w:hint="eastAsia"/>
          <w:i/>
          <w:lang w:eastAsia="zh-CN"/>
        </w:rPr>
        <w:t>.</w:t>
      </w:r>
      <w:r>
        <w:rPr>
          <w:i/>
        </w:rPr>
        <w:t xml:space="preserve"> </w:t>
      </w:r>
      <w:r>
        <w:rPr>
          <w:rFonts w:hint="eastAsia"/>
          <w:i/>
          <w:lang w:eastAsia="zh-CN"/>
        </w:rPr>
        <w:t>In this case</w:t>
      </w:r>
      <w:r>
        <w:rPr>
          <w:i/>
        </w:rPr>
        <w:t>,</w:t>
      </w:r>
      <w:r>
        <w:rPr>
          <w:i/>
          <w:lang w:eastAsia="zh-CN"/>
        </w:rPr>
        <w:t xml:space="preserve"> </w:t>
      </w:r>
      <w:r>
        <w:rPr>
          <w:i/>
        </w:rPr>
        <w:t>the number, name and version of the draft TS/TR used as base must be provided and the version must be the latest available version of the draft TS/TR.)</w:t>
      </w:r>
    </w:p>
    <w:p>
      <w:pPr>
        <w:pStyle w:val="160"/>
        <w:numPr>
          <w:ilvl w:val="0"/>
          <w:numId w:val="4"/>
        </w:numPr>
        <w:rPr>
          <w:color w:val="000000"/>
        </w:rPr>
      </w:pPr>
      <w:r>
        <w:rPr>
          <w:color w:val="000000"/>
        </w:rPr>
        <w:t>SP-231154</w:t>
      </w:r>
      <w:r>
        <w:rPr>
          <w:color w:val="000000"/>
        </w:rPr>
        <w:tab/>
      </w:r>
      <w:r>
        <w:rPr>
          <w:color w:val="000000"/>
        </w:rPr>
        <w:t>New WID on charging aspects on 5WWC phase 2</w:t>
      </w:r>
    </w:p>
    <w:p>
      <w:pPr>
        <w:pStyle w:val="160"/>
        <w:numPr>
          <w:ilvl w:val="0"/>
          <w:numId w:val="4"/>
        </w:numPr>
        <w:rPr>
          <w:color w:val="000000"/>
        </w:rPr>
      </w:pPr>
      <w:r>
        <w:rPr>
          <w:color w:val="000000"/>
        </w:rPr>
        <w:t xml:space="preserve">3GPP TS </w:t>
      </w:r>
      <w:r>
        <w:rPr>
          <w:rFonts w:hint="eastAsia"/>
          <w:color w:val="000000"/>
          <w:lang w:val="en-US" w:eastAsia="zh-CN"/>
        </w:rPr>
        <w:t>32.255</w:t>
      </w:r>
      <w:r>
        <w:t>: "</w:t>
      </w:r>
      <w:r>
        <w:rPr>
          <w:rFonts w:hint="eastAsia"/>
          <w:color w:val="000000"/>
          <w:lang w:val="en-US" w:eastAsia="zh-CN"/>
        </w:rPr>
        <w:t>Telecommunication management; Charging management; 5G data connectivity domain charging; Stage 2</w:t>
      </w:r>
      <w:r>
        <w:t>"</w:t>
      </w:r>
      <w:r>
        <w:rPr>
          <w:rFonts w:hint="eastAsia"/>
          <w:lang w:val="en-US" w:eastAsia="zh-CN"/>
        </w:rPr>
        <w:t>.</w:t>
      </w:r>
    </w:p>
    <w:p>
      <w:pPr>
        <w:pStyle w:val="160"/>
        <w:rPr>
          <w:rFonts w:hint="eastAsia" w:eastAsia="宋体"/>
          <w:color w:val="000000"/>
          <w:lang w:val="en-US" w:eastAsia="zh-CN"/>
        </w:rPr>
      </w:pPr>
      <w:r>
        <w:rPr>
          <w:color w:val="000000"/>
        </w:rPr>
        <w:t>[</w:t>
      </w:r>
      <w:r>
        <w:rPr>
          <w:rFonts w:hint="eastAsia"/>
          <w:color w:val="000000"/>
          <w:lang w:val="en-US" w:eastAsia="zh-CN"/>
        </w:rPr>
        <w:t>3</w:t>
      </w:r>
      <w:r>
        <w:rPr>
          <w:color w:val="000000"/>
        </w:rPr>
        <w:t>]</w:t>
      </w:r>
      <w:r>
        <w:rPr>
          <w:color w:val="000000"/>
        </w:rPr>
        <w:tab/>
      </w:r>
      <w:r>
        <w:rPr>
          <w:color w:val="000000"/>
        </w:rPr>
        <w:t>3GPP TS 23.316</w:t>
      </w:r>
      <w:r>
        <w:t>: "</w:t>
      </w:r>
      <w:r>
        <w:rPr>
          <w:rFonts w:hint="eastAsia"/>
          <w:color w:val="000000"/>
          <w:lang w:val="en-US" w:eastAsia="zh-CN"/>
        </w:rPr>
        <w:t>Wireless and wireline convergence access support for the 5G System (5GS)</w:t>
      </w:r>
      <w:r>
        <w:t>"</w:t>
      </w:r>
      <w:r>
        <w:rPr>
          <w:rFonts w:hint="eastAsia"/>
          <w:lang w:val="en-US" w:eastAsia="zh-CN"/>
        </w:rPr>
        <w:t>.</w:t>
      </w:r>
    </w:p>
    <w:p>
      <w:pPr>
        <w:pStyle w:val="160"/>
        <w:rPr>
          <w:rFonts w:hint="default" w:eastAsia="宋体"/>
          <w:color w:val="000000"/>
          <w:lang w:val="en-US" w:eastAsia="zh-CN"/>
        </w:rPr>
      </w:pPr>
      <w:r>
        <w:rPr>
          <w:color w:val="000000"/>
        </w:rPr>
        <w:t>[</w:t>
      </w:r>
      <w:r>
        <w:rPr>
          <w:rFonts w:hint="eastAsia"/>
          <w:color w:val="000000"/>
          <w:lang w:val="en-US" w:eastAsia="zh-CN"/>
        </w:rPr>
        <w:t>4</w:t>
      </w:r>
      <w:r>
        <w:rPr>
          <w:color w:val="000000"/>
        </w:rPr>
        <w:t>]</w:t>
      </w:r>
      <w:r>
        <w:rPr>
          <w:color w:val="000000"/>
        </w:rPr>
        <w:tab/>
      </w:r>
      <w:r>
        <w:rPr>
          <w:color w:val="000000"/>
        </w:rPr>
        <w:t xml:space="preserve">3GPP TS </w:t>
      </w:r>
      <w:r>
        <w:rPr>
          <w:rFonts w:hint="eastAsia"/>
          <w:color w:val="000000"/>
          <w:lang w:val="en-US" w:eastAsia="zh-CN"/>
        </w:rPr>
        <w:t>32.291</w:t>
      </w:r>
      <w:r>
        <w:t>: "</w:t>
      </w:r>
      <w:r>
        <w:rPr>
          <w:rFonts w:hint="eastAsia"/>
          <w:color w:val="000000"/>
          <w:lang w:val="en-US" w:eastAsia="zh-CN"/>
        </w:rPr>
        <w:t>Telecommunication management; Charging management; 5G system, charging service; Stage 3</w:t>
      </w:r>
      <w:r>
        <w:t>"</w:t>
      </w:r>
      <w:r>
        <w:rPr>
          <w:rFonts w:hint="eastAsia"/>
          <w:lang w:val="en-US" w:eastAsia="zh-CN"/>
        </w:rPr>
        <w:t>.</w:t>
      </w:r>
    </w:p>
    <w:p>
      <w:pPr>
        <w:pStyle w:val="160"/>
        <w:rPr>
          <w:color w:val="000000"/>
        </w:rPr>
      </w:pPr>
      <w:r>
        <w:rPr>
          <w:color w:val="000000"/>
        </w:rPr>
        <w:t>[</w:t>
      </w:r>
      <w:r>
        <w:rPr>
          <w:rFonts w:hint="eastAsia"/>
          <w:color w:val="000000"/>
          <w:lang w:val="en-US" w:eastAsia="zh-CN"/>
        </w:rPr>
        <w:t>5</w:t>
      </w:r>
      <w:r>
        <w:rPr>
          <w:color w:val="000000"/>
        </w:rPr>
        <w:t>]</w:t>
      </w:r>
      <w:r>
        <w:rPr>
          <w:color w:val="000000"/>
        </w:rPr>
        <w:tab/>
      </w:r>
      <w:r>
        <w:rPr>
          <w:color w:val="000000"/>
        </w:rPr>
        <w:t xml:space="preserve">3GPP TS  </w:t>
      </w:r>
      <w:r>
        <w:rPr>
          <w:rFonts w:hint="eastAsia"/>
          <w:color w:val="000000"/>
          <w:lang w:val="en-US" w:eastAsia="zh-CN"/>
        </w:rPr>
        <w:t>32.298</w:t>
      </w:r>
      <w:r>
        <w:t>: "</w:t>
      </w:r>
      <w:r>
        <w:rPr>
          <w:rFonts w:hint="eastAsia"/>
          <w:color w:val="000000"/>
          <w:lang w:val="en-US" w:eastAsia="zh-CN"/>
        </w:rPr>
        <w:t>Telecommunication management; Charging management; Charging Data Record (CDR) parameter description</w:t>
      </w:r>
      <w:r>
        <w:t>"</w:t>
      </w:r>
      <w:r>
        <w:rPr>
          <w:rFonts w:hint="eastAsia"/>
          <w:lang w:val="en-US" w:eastAsia="zh-CN"/>
        </w:rPr>
        <w:t>.</w:t>
      </w:r>
    </w:p>
    <w:p>
      <w:pPr>
        <w:pStyle w:val="160"/>
        <w:rPr>
          <w:color w:val="FF0000"/>
          <w:lang w:val="fr-FR"/>
        </w:rPr>
      </w:pPr>
    </w:p>
    <w:p>
      <w:pPr>
        <w:pStyle w:val="3"/>
      </w:pPr>
      <w:r>
        <w:t>3</w:t>
      </w:r>
      <w:r>
        <w:tab/>
      </w:r>
      <w:r>
        <w:t>Rationale</w:t>
      </w:r>
    </w:p>
    <w:p>
      <w:pPr>
        <w:rPr>
          <w:sz w:val="26"/>
          <w:szCs w:val="26"/>
        </w:rPr>
      </w:pPr>
      <w:r>
        <w:rPr>
          <w:sz w:val="26"/>
          <w:szCs w:val="26"/>
        </w:rPr>
        <w:t>3.1</w:t>
      </w:r>
      <w:r>
        <w:rPr>
          <w:sz w:val="26"/>
          <w:szCs w:val="26"/>
        </w:rPr>
        <w:tab/>
      </w:r>
      <w:r>
        <w:rPr>
          <w:sz w:val="26"/>
          <w:szCs w:val="26"/>
        </w:rPr>
        <w:tab/>
      </w:r>
      <w:r>
        <w:rPr>
          <w:sz w:val="26"/>
          <w:szCs w:val="26"/>
        </w:rPr>
        <w:t xml:space="preserve"> Background and motivation</w:t>
      </w:r>
    </w:p>
    <w:p>
      <w:r>
        <w:t>The work item to introduce the charging enhancement and the identification of differentiated charging for UE behind the RG. This contribution is to discuss the possible charging enhancement(s) regarding the differentiated charging for UE behind the RG.</w:t>
      </w:r>
    </w:p>
    <w:p>
      <w:pPr>
        <w:rPr>
          <w:lang w:bidi="ar-IQ"/>
        </w:rPr>
      </w:pPr>
      <w:r>
        <w:rPr>
          <w:lang w:val="en-US" w:eastAsia="zh-CN"/>
        </w:rPr>
        <w:t>As described in TS 32.255</w:t>
      </w:r>
      <w:r>
        <w:rPr>
          <w:rFonts w:hint="eastAsia"/>
          <w:lang w:val="en-US" w:eastAsia="zh-CN"/>
        </w:rPr>
        <w:t>[2]</w:t>
      </w:r>
      <w:r>
        <w:rPr>
          <w:lang w:val="en-US" w:eastAsia="zh-CN"/>
        </w:rPr>
        <w:t>, the charging aspect of 5G data connectivity domain charging specified for SMF support t o</w:t>
      </w:r>
      <w:r>
        <w:t>collect charging information</w:t>
      </w:r>
      <w:r>
        <w:rPr>
          <w:lang w:bidi="ar-IQ"/>
        </w:rPr>
        <w:t xml:space="preserve"> per PDU session</w:t>
      </w:r>
      <w:r>
        <w:rPr>
          <w:lang w:val="en-US" w:bidi="ar-IQ"/>
        </w:rPr>
        <w:t xml:space="preserve"> </w:t>
      </w:r>
      <w:r>
        <w:rPr>
          <w:lang w:bidi="ar-IQ"/>
        </w:rPr>
        <w:t>for UEs served under</w:t>
      </w:r>
      <w:r>
        <w:rPr>
          <w:lang w:eastAsia="ko-KR"/>
        </w:rPr>
        <w:t xml:space="preserve"> 3GPP access and non-3GPP access (untrusted non-3GPP access, trusted non-3GPP access and wireline)</w:t>
      </w:r>
      <w:r>
        <w:rPr>
          <w:lang w:bidi="ar-IQ"/>
        </w:rPr>
        <w:t>.</w:t>
      </w:r>
    </w:p>
    <w:p>
      <w:pPr>
        <w:rPr>
          <w:lang w:eastAsia="zh-CN"/>
        </w:rPr>
      </w:pPr>
      <w:r>
        <w:rPr>
          <w:lang w:bidi="ar-IQ"/>
        </w:rPr>
        <w:t xml:space="preserve">The related procedures and charging information related to </w:t>
      </w:r>
      <w:r>
        <w:rPr>
          <w:lang w:eastAsia="ko-KR"/>
        </w:rPr>
        <w:t>untrusted non-3GPP access and trusted non-3GPP access are described in TS 32.255</w:t>
      </w:r>
      <w:r>
        <w:rPr>
          <w:rFonts w:hint="eastAsia"/>
          <w:lang w:val="en-US" w:eastAsia="zh-CN"/>
        </w:rPr>
        <w:t>[2]</w:t>
      </w:r>
      <w:r>
        <w:rPr>
          <w:lang w:eastAsia="ko-KR"/>
        </w:rPr>
        <w:t>.</w:t>
      </w:r>
    </w:p>
    <w:p>
      <w:r>
        <w:rPr>
          <w:rFonts w:hint="eastAsia"/>
          <w:lang w:eastAsia="zh-CN"/>
        </w:rPr>
        <w:t>A</w:t>
      </w:r>
      <w:r>
        <w:rPr>
          <w:lang w:eastAsia="zh-CN"/>
        </w:rPr>
        <w:t xml:space="preserve"> work item for charging aspect for 5WWC(wireline access) was introduced in Charging SWG to support two different scenarios for </w:t>
      </w:r>
      <w:r>
        <w:t xml:space="preserve">a PDU session can be established via this </w:t>
      </w:r>
      <w:r>
        <w:rPr>
          <w:lang w:eastAsia="zh-CN"/>
        </w:rPr>
        <w:t xml:space="preserve">wireline </w:t>
      </w:r>
      <w:r>
        <w:t>access, as following:</w:t>
      </w:r>
    </w:p>
    <w:p>
      <w:pPr>
        <w:pStyle w:val="149"/>
      </w:pPr>
      <w:r>
        <w:t>-</w:t>
      </w:r>
      <w:r>
        <w:tab/>
      </w:r>
      <w:r>
        <w:t xml:space="preserve">5G-RG connected via </w:t>
      </w:r>
      <w:r>
        <w:rPr>
          <w:lang w:eastAsia="zh-CN"/>
        </w:rPr>
        <w:t xml:space="preserve">NR-RAN and </w:t>
      </w:r>
      <w:r>
        <w:t>W-5GAN;</w:t>
      </w:r>
    </w:p>
    <w:p>
      <w:pPr>
        <w:pStyle w:val="149"/>
        <w:tabs>
          <w:tab w:val="left" w:pos="284"/>
          <w:tab w:val="left" w:pos="568"/>
          <w:tab w:val="left" w:pos="852"/>
          <w:tab w:val="left" w:pos="1136"/>
          <w:tab w:val="left" w:pos="1420"/>
          <w:tab w:val="left" w:pos="1704"/>
          <w:tab w:val="left" w:pos="1988"/>
          <w:tab w:val="left" w:pos="2272"/>
          <w:tab w:val="left" w:pos="2556"/>
          <w:tab w:val="left" w:pos="2840"/>
          <w:tab w:val="left" w:pos="3124"/>
          <w:tab w:val="left" w:pos="5672"/>
        </w:tabs>
        <w:rPr>
          <w:lang w:eastAsia="zh-CN"/>
        </w:rPr>
      </w:pPr>
      <w:r>
        <w:t>-</w:t>
      </w:r>
      <w:r>
        <w:tab/>
      </w:r>
      <w:r>
        <w:t>FN-RG connected via W-5GAN</w:t>
      </w:r>
      <w:r>
        <w:rPr>
          <w:lang w:eastAsia="zh-CN"/>
        </w:rPr>
        <w:t>.</w:t>
      </w:r>
    </w:p>
    <w:p>
      <w:pPr>
        <w:rPr>
          <w:lang w:eastAsia="zh-CN"/>
        </w:rPr>
      </w:pPr>
      <w:r>
        <w:rPr>
          <w:lang w:eastAsia="zh-CN"/>
        </w:rPr>
        <w:t>There are some charging enhancement(s) are specified in charging specifications (TS 32.255</w:t>
      </w:r>
      <w:r>
        <w:rPr>
          <w:rFonts w:hint="eastAsia"/>
          <w:lang w:val="en-US" w:eastAsia="zh-CN"/>
        </w:rPr>
        <w:t>[2]</w:t>
      </w:r>
      <w:r>
        <w:rPr>
          <w:lang w:eastAsia="zh-CN"/>
        </w:rPr>
        <w:t>, TS 32.291</w:t>
      </w:r>
      <w:r>
        <w:rPr>
          <w:rFonts w:hint="eastAsia"/>
          <w:lang w:val="en-US" w:eastAsia="zh-CN"/>
        </w:rPr>
        <w:t>[4]</w:t>
      </w:r>
      <w:r>
        <w:rPr>
          <w:lang w:eastAsia="zh-CN"/>
        </w:rPr>
        <w:t xml:space="preserve"> and TS 32.298</w:t>
      </w:r>
      <w:r>
        <w:rPr>
          <w:rFonts w:hint="eastAsia"/>
          <w:lang w:val="en-US" w:eastAsia="zh-CN"/>
        </w:rPr>
        <w:t>[5]</w:t>
      </w:r>
      <w:r>
        <w:rPr>
          <w:lang w:eastAsia="zh-CN"/>
        </w:rPr>
        <w:t>), including the charging information to identify the subscriber information during PDU session, some clarification related to description and procedures related to identification of equipment information.</w:t>
      </w:r>
    </w:p>
    <w:p>
      <w:pPr>
        <w:rPr>
          <w:lang w:val="en-US" w:eastAsia="zh-CN"/>
        </w:rPr>
      </w:pPr>
      <w:r>
        <w:rPr>
          <w:lang w:eastAsia="zh-CN"/>
        </w:rPr>
        <w:t xml:space="preserve">The example procedures for charging aspect for wireline access are described in clause </w:t>
      </w:r>
      <w:r>
        <w:t>5.2.2.</w:t>
      </w:r>
      <w:r>
        <w:rPr>
          <w:lang w:val="en-US" w:eastAsia="zh-CN"/>
        </w:rPr>
        <w:t>16 of TS 32.255</w:t>
      </w:r>
      <w:r>
        <w:rPr>
          <w:rFonts w:hint="eastAsia"/>
          <w:lang w:val="en-US" w:eastAsia="zh-CN"/>
        </w:rPr>
        <w:t>[2]</w:t>
      </w:r>
      <w:r>
        <w:rPr>
          <w:lang w:val="en-US" w:eastAsia="zh-CN"/>
        </w:rPr>
        <w:t>.</w:t>
      </w:r>
    </w:p>
    <w:p>
      <w:pPr>
        <w:rPr>
          <w:rFonts w:hint="eastAsia"/>
          <w:lang w:eastAsia="zh-CN"/>
        </w:rPr>
      </w:pPr>
    </w:p>
    <w:p>
      <w:pPr>
        <w:rPr>
          <w:sz w:val="26"/>
          <w:szCs w:val="26"/>
        </w:rPr>
      </w:pPr>
      <w:r>
        <w:rPr>
          <w:sz w:val="26"/>
          <w:szCs w:val="26"/>
        </w:rPr>
        <w:t xml:space="preserve">3.2 </w:t>
      </w:r>
      <w:r>
        <w:rPr>
          <w:sz w:val="26"/>
          <w:szCs w:val="26"/>
        </w:rPr>
        <w:tab/>
      </w:r>
      <w:r>
        <w:rPr>
          <w:sz w:val="26"/>
          <w:szCs w:val="26"/>
        </w:rPr>
        <w:tab/>
      </w:r>
      <w:r>
        <w:rPr>
          <w:sz w:val="26"/>
          <w:szCs w:val="26"/>
        </w:rPr>
        <w:t>Analysis on potential charging enhancement(s)</w:t>
      </w:r>
    </w:p>
    <w:p>
      <w:r>
        <w:rPr>
          <w:rFonts w:hint="eastAsia"/>
          <w:lang w:eastAsia="zh-CN"/>
        </w:rPr>
        <w:t>T</w:t>
      </w:r>
      <w:r>
        <w:rPr>
          <w:lang w:eastAsia="zh-CN"/>
        </w:rPr>
        <w:t xml:space="preserve">he charging aspect for 5WWC may be enhanced due to the scenarios of </w:t>
      </w:r>
      <w:r>
        <w:t>for 3GPP UE behind an RG. As an example, the architecture for UE behind 5G-RG using untrusted N3GPP access is shown as following:</w:t>
      </w:r>
    </w:p>
    <w:p>
      <w:pPr>
        <w:jc w:val="center"/>
        <w:rPr>
          <w:lang/>
        </w:rPr>
      </w:pPr>
      <w:r>
        <w:rPr>
          <w:lang/>
        </w:rPr>
        <w:object>
          <v:shape id="_x0000_i1025" o:spt="75" type="#_x0000_t75" style="height:118.7pt;width:372.05pt;" o:ole="t" filled="f" o:preferrelative="t" stroked="f" coordsize="21600,21600">
            <v:path/>
            <v:fill on="f" focussize="0,0"/>
            <v:stroke on="f"/>
            <v:imagedata r:id="rId6" o:title=""/>
            <o:lock v:ext="edit" aspectratio="t"/>
            <w10:wrap type="none"/>
            <w10:anchorlock/>
          </v:shape>
          <o:OLEObject Type="Embed" ProgID="Visio.Drawing.15" ShapeID="_x0000_i1025" DrawAspect="Content" ObjectID="_1468075725" r:id="rId5">
            <o:LockedField>false</o:LockedField>
          </o:OLEObject>
        </w:object>
      </w:r>
    </w:p>
    <w:p>
      <w:pPr>
        <w:jc w:val="center"/>
        <w:rPr>
          <w:rFonts w:hint="eastAsia"/>
          <w:lang w:eastAsia="zh-CN"/>
        </w:rPr>
      </w:pPr>
      <w:r>
        <w:t>Architecture for UE behind 5G-RG using untrusted N3GPP access</w:t>
      </w:r>
    </w:p>
    <w:p>
      <w:pPr>
        <w:rPr>
          <w:lang w:eastAsia="zh-CN"/>
        </w:rPr>
      </w:pPr>
      <w:r>
        <w:rPr>
          <w:rFonts w:hint="eastAsia"/>
          <w:lang w:eastAsia="zh-CN"/>
        </w:rPr>
        <w:t>T</w:t>
      </w:r>
      <w:r>
        <w:rPr>
          <w:lang w:eastAsia="zh-CN"/>
        </w:rPr>
        <w:t xml:space="preserve">he supports for </w:t>
      </w:r>
      <w:r>
        <w:t>UE behind RG using untrusted Non-3GPP access procedures</w:t>
      </w:r>
      <w:r>
        <w:rPr>
          <w:lang w:eastAsia="zh-CN"/>
        </w:rPr>
        <w:t xml:space="preserve"> are described in annex A of TS 23.316</w:t>
      </w:r>
      <w:r>
        <w:rPr>
          <w:rFonts w:hint="eastAsia"/>
          <w:lang w:val="en-US" w:eastAsia="zh-CN"/>
        </w:rPr>
        <w:t>[3]</w:t>
      </w:r>
      <w:r>
        <w:rPr>
          <w:lang w:eastAsia="zh-CN"/>
        </w:rPr>
        <w:t>.</w:t>
      </w:r>
    </w:p>
    <w:p>
      <w:pPr>
        <w:rPr>
          <w:lang w:eastAsia="ko-KR"/>
        </w:rPr>
      </w:pPr>
      <w:r>
        <w:rPr>
          <w:rFonts w:hint="eastAsia"/>
          <w:lang w:eastAsia="zh-CN"/>
        </w:rPr>
        <w:t>A</w:t>
      </w:r>
      <w:r>
        <w:rPr>
          <w:lang w:eastAsia="zh-CN"/>
        </w:rPr>
        <w:t xml:space="preserve">ccording to the description above, the differentiated charging for UE behind RG using </w:t>
      </w:r>
      <w:r>
        <w:t>untrusted N3GPP access and trusted N3GPP access should follow the existing charging information and related procedures for those on</w:t>
      </w:r>
      <w:r>
        <w:rPr>
          <w:lang w:eastAsia="ko-KR"/>
        </w:rPr>
        <w:t xml:space="preserve"> untrusted non-3GPP access and trusted non-3GPP access described in TS 32.255</w:t>
      </w:r>
      <w:r>
        <w:rPr>
          <w:rFonts w:hint="eastAsia"/>
          <w:lang w:val="en-US" w:eastAsia="zh-CN"/>
        </w:rPr>
        <w:t>[2]</w:t>
      </w:r>
      <w:r>
        <w:rPr>
          <w:lang w:eastAsia="ko-KR"/>
        </w:rPr>
        <w:t xml:space="preserve">. Therefore, this discussion concludes the clarification description may be needed for </w:t>
      </w:r>
      <w:r>
        <w:t>UE behind 5G-RG to use charging procedures and charging information as described in TS 32.255</w:t>
      </w:r>
      <w:r>
        <w:rPr>
          <w:rFonts w:hint="eastAsia"/>
          <w:lang w:val="en-US" w:eastAsia="zh-CN"/>
        </w:rPr>
        <w:t>[2]</w:t>
      </w:r>
      <w:r>
        <w:t>.</w:t>
      </w:r>
    </w:p>
    <w:p>
      <w:pPr>
        <w:rPr>
          <w:rFonts w:hint="eastAsia"/>
          <w:lang w:eastAsia="zh-CN"/>
        </w:rPr>
      </w:pPr>
      <w:r>
        <w:rPr>
          <w:rFonts w:hint="eastAsia"/>
          <w:lang w:eastAsia="zh-CN"/>
        </w:rPr>
        <w:t>F</w:t>
      </w:r>
      <w:r>
        <w:rPr>
          <w:lang w:eastAsia="zh-CN"/>
        </w:rPr>
        <w:t xml:space="preserve">urthermore, in </w:t>
      </w:r>
      <w:r>
        <w:rPr>
          <w:lang w:eastAsia="ko-KR"/>
        </w:rPr>
        <w:t xml:space="preserve">trusted non-3GPP access scenario, </w:t>
      </w:r>
      <w:r>
        <w:rPr>
          <w:lang w:eastAsia="zh-CN"/>
        </w:rPr>
        <w:t xml:space="preserve">the differentiated charging for particular UEs (hosts) which are belong to the RG (e.g., the home of the subscriber) and the UEs (guest) which are visitors of the RG, is described in clause </w:t>
      </w:r>
      <w:r>
        <w:t>4.10 of TS 23.316</w:t>
      </w:r>
      <w:r>
        <w:rPr>
          <w:rFonts w:hint="eastAsia"/>
          <w:lang w:val="en-US" w:eastAsia="zh-CN"/>
        </w:rPr>
        <w:t>[3]</w:t>
      </w:r>
      <w:r>
        <w:t xml:space="preserve">. The proposal for charging is to enhance the use of user location info to identify those UEs (the host or guest) behind the RG in trusted Non-3GPP access.  The particular proposal for user location info is to use TNGF identifier as ULI during the PDU session establishment for </w:t>
      </w:r>
      <w:r>
        <w:rPr>
          <w:lang w:eastAsia="zh-CN"/>
        </w:rPr>
        <w:t>UE behind RG using</w:t>
      </w:r>
      <w:r>
        <w:t xml:space="preserve"> trusted N3GPP access, then the charging system is capable to support </w:t>
      </w:r>
      <w:r>
        <w:rPr>
          <w:lang w:eastAsia="zh-CN"/>
        </w:rPr>
        <w:t xml:space="preserve">differentiated charging for particular UEs (hosts, guests) using the RGs in case of </w:t>
      </w:r>
      <w:r>
        <w:t>trusted N3GPP access.</w:t>
      </w:r>
    </w:p>
    <w:p>
      <w:pPr>
        <w:rPr>
          <w:sz w:val="26"/>
          <w:szCs w:val="26"/>
        </w:rPr>
      </w:pPr>
    </w:p>
    <w:p>
      <w:pPr>
        <w:rPr>
          <w:sz w:val="28"/>
        </w:rPr>
      </w:pPr>
    </w:p>
    <w:p>
      <w:pPr>
        <w:pStyle w:val="3"/>
      </w:pPr>
      <w:r>
        <w:t>4</w:t>
      </w:r>
      <w:r>
        <w:tab/>
      </w:r>
      <w:r>
        <w:t>Detailed proposal</w:t>
      </w:r>
    </w:p>
    <w:p>
      <w:r>
        <w:t>SA5 is asked to agree a couple of technical proposals to support charging enhancement and the identification of differentiated charging for UE behind the RG.</w:t>
      </w:r>
    </w:p>
    <w:p>
      <w:pPr>
        <w:numPr>
          <w:ilvl w:val="0"/>
          <w:numId w:val="5"/>
        </w:numPr>
        <w:rPr>
          <w:i/>
        </w:rPr>
      </w:pPr>
      <w:r>
        <w:t>A tdoc to clarify the use of procedure and charging information for differentiated charging for UE behind the RGs</w:t>
      </w:r>
    </w:p>
    <w:p>
      <w:pPr>
        <w:numPr>
          <w:ilvl w:val="0"/>
          <w:numId w:val="5"/>
        </w:numPr>
        <w:rPr>
          <w:i/>
        </w:rPr>
      </w:pPr>
      <w:r>
        <w:t xml:space="preserve">The charging enhancement to specify the use of user location information for </w:t>
      </w:r>
      <w:r>
        <w:rPr>
          <w:lang w:eastAsia="zh-CN"/>
        </w:rPr>
        <w:t xml:space="preserve">differentiated charging for particular UEs (hosts, guests) using the RGs in case of </w:t>
      </w:r>
      <w:r>
        <w:t>trusted N3GPP access.</w:t>
      </w:r>
    </w:p>
    <w:sectPr>
      <w:footnotePr>
        <w:numRestart w:val="eachSect"/>
      </w:footnotePr>
      <w:pgSz w:w="11907" w:h="16840"/>
      <w:pgMar w:top="567" w:right="1134" w:bottom="567" w:left="1134" w:header="680" w:footer="567" w:gutter="0"/>
      <w:lnNumType w:countBy="0" w:distance="576"/>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Calibri Light">
    <w:panose1 w:val="020F0302020204030204"/>
    <w:charset w:val="00"/>
    <w:family w:val="swiss"/>
    <w:pitch w:val="default"/>
    <w:sig w:usb0="E4002EFF" w:usb1="C0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6"/>
      <w:lvlText w:val="%1."/>
      <w:lvlJc w:val="left"/>
      <w:pPr>
        <w:tabs>
          <w:tab w:val="left" w:pos="926"/>
        </w:tabs>
        <w:ind w:left="926" w:hanging="360"/>
      </w:pPr>
    </w:lvl>
  </w:abstractNum>
  <w:abstractNum w:abstractNumId="3">
    <w:nsid w:val="488C77E6"/>
    <w:multiLevelType w:val="multilevel"/>
    <w:tmpl w:val="488C77E6"/>
    <w:lvl w:ilvl="0" w:tentative="0">
      <w:start w:val="1"/>
      <w:numFmt w:val="decimal"/>
      <w:lvlText w:val="%1."/>
      <w:lvlJc w:val="left"/>
      <w:pPr>
        <w:ind w:left="360" w:hanging="360"/>
      </w:pPr>
      <w:rPr>
        <w:rFonts w:hint="default"/>
        <w:i w:val="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502CBE96"/>
    <w:multiLevelType w:val="singleLevel"/>
    <w:tmpl w:val="502CBE96"/>
    <w:lvl w:ilvl="0" w:tentative="0">
      <w:start w:val="1"/>
      <w:numFmt w:val="decimal"/>
      <w:lvlText w:val="[%1]"/>
      <w:lvlJc w:val="left"/>
    </w:lvl>
  </w:abstractNum>
  <w:num w:numId="1">
    <w:abstractNumId w:val="2"/>
  </w:num>
  <w:num w:numId="2">
    <w:abstractNumId w:val="1"/>
  </w:num>
  <w:num w:numId="3">
    <w:abstractNumId w:val="0"/>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360"/>
  <w:doNotHyphenateCaps/>
  <w:displayHorizontalDrawingGridEvery w:val="1"/>
  <w:displayVerticalDrawingGridEvery w:val="1"/>
  <w:doNotUseMarginsForDrawingGridOrigin w:val="1"/>
  <w:drawingGridHorizontalOrigin w:val="1701"/>
  <w:drawingGridVerticalOrigin w:val="1984"/>
  <w:doNotShadeFormData w:val="1"/>
  <w:noPunctuationKerning w:val="1"/>
  <w:characterSpacingControl w:val="doNotCompress"/>
  <w:footnotePr>
    <w:numRestart w:val="eachSect"/>
    <w:footnote w:id="0"/>
    <w:footnote w:id="1"/>
  </w:foot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0155"/>
    <w:rsid w:val="00012515"/>
    <w:rsid w:val="000230A3"/>
    <w:rsid w:val="00046389"/>
    <w:rsid w:val="00074722"/>
    <w:rsid w:val="00075A47"/>
    <w:rsid w:val="0008083D"/>
    <w:rsid w:val="000819D8"/>
    <w:rsid w:val="00085D0B"/>
    <w:rsid w:val="000934A6"/>
    <w:rsid w:val="000A2C6C"/>
    <w:rsid w:val="000A4660"/>
    <w:rsid w:val="000D0BE0"/>
    <w:rsid w:val="000D1B5B"/>
    <w:rsid w:val="000E626A"/>
    <w:rsid w:val="0010401F"/>
    <w:rsid w:val="00112FC3"/>
    <w:rsid w:val="00117F97"/>
    <w:rsid w:val="00143A6C"/>
    <w:rsid w:val="00173FA3"/>
    <w:rsid w:val="00184B6F"/>
    <w:rsid w:val="001861E5"/>
    <w:rsid w:val="001969DA"/>
    <w:rsid w:val="00197930"/>
    <w:rsid w:val="001A6EE3"/>
    <w:rsid w:val="001B1652"/>
    <w:rsid w:val="001C3EC8"/>
    <w:rsid w:val="001D2BD4"/>
    <w:rsid w:val="001D4258"/>
    <w:rsid w:val="001D6911"/>
    <w:rsid w:val="001F7073"/>
    <w:rsid w:val="00201947"/>
    <w:rsid w:val="0020395B"/>
    <w:rsid w:val="002046CB"/>
    <w:rsid w:val="00204DC9"/>
    <w:rsid w:val="002062C0"/>
    <w:rsid w:val="00212C47"/>
    <w:rsid w:val="00215130"/>
    <w:rsid w:val="00230002"/>
    <w:rsid w:val="00244C9A"/>
    <w:rsid w:val="00247216"/>
    <w:rsid w:val="00266700"/>
    <w:rsid w:val="00274477"/>
    <w:rsid w:val="002A1857"/>
    <w:rsid w:val="002C7F38"/>
    <w:rsid w:val="0030628A"/>
    <w:rsid w:val="00331BB4"/>
    <w:rsid w:val="0035122B"/>
    <w:rsid w:val="00353451"/>
    <w:rsid w:val="003612BE"/>
    <w:rsid w:val="00365672"/>
    <w:rsid w:val="00371032"/>
    <w:rsid w:val="00371B44"/>
    <w:rsid w:val="0039133E"/>
    <w:rsid w:val="003C122B"/>
    <w:rsid w:val="003C5A97"/>
    <w:rsid w:val="003C7A04"/>
    <w:rsid w:val="003F52B2"/>
    <w:rsid w:val="00440414"/>
    <w:rsid w:val="004558E9"/>
    <w:rsid w:val="0045777E"/>
    <w:rsid w:val="004B3753"/>
    <w:rsid w:val="004C31D2"/>
    <w:rsid w:val="004C425D"/>
    <w:rsid w:val="004D55C2"/>
    <w:rsid w:val="00521131"/>
    <w:rsid w:val="00527C0B"/>
    <w:rsid w:val="005410F6"/>
    <w:rsid w:val="0055412D"/>
    <w:rsid w:val="00562423"/>
    <w:rsid w:val="005649B5"/>
    <w:rsid w:val="005729C4"/>
    <w:rsid w:val="00577BC6"/>
    <w:rsid w:val="00582B51"/>
    <w:rsid w:val="0059227B"/>
    <w:rsid w:val="005A4F75"/>
    <w:rsid w:val="005B0966"/>
    <w:rsid w:val="005B795D"/>
    <w:rsid w:val="005E7902"/>
    <w:rsid w:val="00610508"/>
    <w:rsid w:val="00613820"/>
    <w:rsid w:val="00645C90"/>
    <w:rsid w:val="00652248"/>
    <w:rsid w:val="00657B80"/>
    <w:rsid w:val="00675B3C"/>
    <w:rsid w:val="0069495C"/>
    <w:rsid w:val="006C2544"/>
    <w:rsid w:val="006C588B"/>
    <w:rsid w:val="006D340A"/>
    <w:rsid w:val="00715A1D"/>
    <w:rsid w:val="00760BB0"/>
    <w:rsid w:val="0076157A"/>
    <w:rsid w:val="00762009"/>
    <w:rsid w:val="00784593"/>
    <w:rsid w:val="007A00EF"/>
    <w:rsid w:val="007B19EA"/>
    <w:rsid w:val="007C0A2D"/>
    <w:rsid w:val="007C27B0"/>
    <w:rsid w:val="007F300B"/>
    <w:rsid w:val="008014C3"/>
    <w:rsid w:val="00850812"/>
    <w:rsid w:val="00854D6F"/>
    <w:rsid w:val="00876B9A"/>
    <w:rsid w:val="00886CBD"/>
    <w:rsid w:val="008933BF"/>
    <w:rsid w:val="00897913"/>
    <w:rsid w:val="008A10C4"/>
    <w:rsid w:val="008B0248"/>
    <w:rsid w:val="008D191D"/>
    <w:rsid w:val="008D74E7"/>
    <w:rsid w:val="008F5F33"/>
    <w:rsid w:val="0091046A"/>
    <w:rsid w:val="00916F80"/>
    <w:rsid w:val="00926ABD"/>
    <w:rsid w:val="00947F4E"/>
    <w:rsid w:val="00966D47"/>
    <w:rsid w:val="00991040"/>
    <w:rsid w:val="00992312"/>
    <w:rsid w:val="009C0DED"/>
    <w:rsid w:val="00A070F6"/>
    <w:rsid w:val="00A20ED6"/>
    <w:rsid w:val="00A37D7F"/>
    <w:rsid w:val="00A46410"/>
    <w:rsid w:val="00A57688"/>
    <w:rsid w:val="00A842E9"/>
    <w:rsid w:val="00A84A94"/>
    <w:rsid w:val="00AD1DAA"/>
    <w:rsid w:val="00AF1E23"/>
    <w:rsid w:val="00AF7F81"/>
    <w:rsid w:val="00B01AFF"/>
    <w:rsid w:val="00B05CC7"/>
    <w:rsid w:val="00B27E39"/>
    <w:rsid w:val="00B350D8"/>
    <w:rsid w:val="00B64419"/>
    <w:rsid w:val="00B76763"/>
    <w:rsid w:val="00B7732B"/>
    <w:rsid w:val="00B879F0"/>
    <w:rsid w:val="00BC25AA"/>
    <w:rsid w:val="00BF682E"/>
    <w:rsid w:val="00C022E3"/>
    <w:rsid w:val="00C22D17"/>
    <w:rsid w:val="00C26BB2"/>
    <w:rsid w:val="00C4712D"/>
    <w:rsid w:val="00C555C9"/>
    <w:rsid w:val="00C94F55"/>
    <w:rsid w:val="00CA7D62"/>
    <w:rsid w:val="00CB07A8"/>
    <w:rsid w:val="00CD4A57"/>
    <w:rsid w:val="00D146F1"/>
    <w:rsid w:val="00D33604"/>
    <w:rsid w:val="00D37B08"/>
    <w:rsid w:val="00D437FF"/>
    <w:rsid w:val="00D5130C"/>
    <w:rsid w:val="00D62265"/>
    <w:rsid w:val="00D73770"/>
    <w:rsid w:val="00D8512E"/>
    <w:rsid w:val="00DA1E58"/>
    <w:rsid w:val="00DB6E67"/>
    <w:rsid w:val="00DB75B8"/>
    <w:rsid w:val="00DC1055"/>
    <w:rsid w:val="00DE4EF2"/>
    <w:rsid w:val="00DF2C0E"/>
    <w:rsid w:val="00E04DB6"/>
    <w:rsid w:val="00E06FFB"/>
    <w:rsid w:val="00E30155"/>
    <w:rsid w:val="00E91FE1"/>
    <w:rsid w:val="00E935FE"/>
    <w:rsid w:val="00EA5E95"/>
    <w:rsid w:val="00ED4954"/>
    <w:rsid w:val="00ED5A43"/>
    <w:rsid w:val="00ED6268"/>
    <w:rsid w:val="00EE0943"/>
    <w:rsid w:val="00EE33A2"/>
    <w:rsid w:val="00F67A1C"/>
    <w:rsid w:val="00F82C5B"/>
    <w:rsid w:val="00F8555F"/>
    <w:rsid w:val="00FB3E36"/>
    <w:rsid w:val="00FE6F70"/>
    <w:rsid w:val="0BF75E34"/>
    <w:rsid w:val="31210C61"/>
    <w:rsid w:val="41954BF9"/>
    <w:rsid w:val="545952F2"/>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name="index 1"/>
    <w:lsdException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name="toc 1"/>
    <w:lsdException w:unhideWhenUsed="0" w:uiPriority="0" w:name="toc 2"/>
    <w:lsdException w:unhideWhenUsed="0" w:uiPriority="0" w:name="toc 3"/>
    <w:lsdException w:unhideWhenUsed="0" w:uiPriority="0" w:name="toc 4"/>
    <w:lsdException w:unhideWhenUsed="0" w:uiPriority="0" w:name="toc 5"/>
    <w:lsdException w:unhideWhenUsed="0" w:uiPriority="0" w:name="toc 6"/>
    <w:lsdException w:unhideWhenUsed="0" w:uiPriority="0" w:name="toc 7"/>
    <w:lsdException w:unhideWhenUsed="0" w:uiPriority="0" w:name="toc 8"/>
    <w:lsdException w:unhideWhenUsed="0" w:uiPriority="0" w:name="toc 9"/>
    <w:lsdException w:unhideWhenUsed="0" w:uiPriority="0" w:semiHidden="0" w:name="Normal Indent"/>
    <w:lsdException w:unhideWhenUsed="0" w:uiPriority="0" w:name="footnote text"/>
    <w:lsdException w:unhideWhenUsed="0" w:uiPriority="0" w:name="annotation text"/>
    <w:lsdException w:unhideWhenUsed="0" w:uiPriority="0" w:semiHidden="0" w:name="header"/>
    <w:lsdException w:unhideWhenUsed="0" w:uiPriority="0" w:semiHidden="0" w:name="footer"/>
    <w:lsdException w:unhideWhenUsed="0" w:uiPriority="0" w:semiHidden="0" w:name="index heading"/>
    <w:lsdException w:qFormat="1"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name="footnote reference"/>
    <w:lsdException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99" w:name="Balloon Text"/>
    <w:lsdException w:unhideWhenUsed="0" w:uiPriority="0" w:semiHidden="0" w:name="Table Grid"/>
    <w:lsdException w:unhideWhenUsed="0" w:uiPriority="0" w:semiHidden="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lang w:val="en-GB" w:eastAsia="en-US" w:bidi="ar-SA"/>
    </w:rPr>
  </w:style>
  <w:style w:type="paragraph" w:styleId="3">
    <w:name w:val="heading 1"/>
    <w:next w:val="1"/>
    <w:qFormat/>
    <w:uiPriority w:val="0"/>
    <w:pPr>
      <w:keepNext/>
      <w:keepLines/>
      <w:pBdr>
        <w:top w:val="single" w:color="auto" w:sz="12" w:space="3"/>
      </w:pBdr>
      <w:spacing w:before="240" w:after="180"/>
      <w:ind w:left="1134" w:hanging="1134"/>
      <w:outlineLvl w:val="0"/>
    </w:pPr>
    <w:rPr>
      <w:rFonts w:ascii="Arial" w:hAnsi="Arial"/>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0">
    <w:name w:val="Default Paragraph Font"/>
    <w:semiHidden/>
    <w:uiPriority w:val="0"/>
  </w:style>
  <w:style w:type="table" w:default="1" w:styleId="89">
    <w:name w:val="Normal Table"/>
    <w:semiHidden/>
    <w:uiPriority w:val="0"/>
    <w:tblPr>
      <w:tblStyle w:val="89"/>
      <w:tblCellMar>
        <w:top w:w="0" w:type="dxa"/>
        <w:left w:w="108" w:type="dxa"/>
        <w:bottom w:w="0" w:type="dxa"/>
        <w:right w:w="108" w:type="dxa"/>
      </w:tblCellMar>
    </w:tblPr>
  </w:style>
  <w:style w:type="paragraph" w:styleId="2">
    <w:name w:val="macro"/>
    <w:link w:val="95"/>
    <w:uiPriority w:val="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bidi="ar-SA"/>
    </w:rPr>
  </w:style>
  <w:style w:type="paragraph" w:customStyle="1" w:styleId="9">
    <w:name w:val="H6"/>
    <w:basedOn w:val="7"/>
    <w:next w:val="1"/>
    <w:uiPriority w:val="0"/>
    <w:pPr>
      <w:ind w:left="1985" w:hanging="1985"/>
      <w:outlineLvl w:val="9"/>
    </w:pPr>
    <w:rPr>
      <w:sz w:val="20"/>
    </w:rPr>
  </w:style>
  <w:style w:type="paragraph" w:styleId="13">
    <w:name w:val="List 3"/>
    <w:basedOn w:val="14"/>
    <w:uiPriority w:val="0"/>
    <w:pPr>
      <w:ind w:left="1135"/>
    </w:pPr>
  </w:style>
  <w:style w:type="paragraph" w:styleId="14">
    <w:name w:val="List 2"/>
    <w:basedOn w:val="15"/>
    <w:uiPriority w:val="0"/>
    <w:pPr>
      <w:ind w:left="851"/>
    </w:pPr>
  </w:style>
  <w:style w:type="paragraph" w:styleId="15">
    <w:name w:val="List"/>
    <w:basedOn w:val="1"/>
    <w:uiPriority w:val="0"/>
    <w:pPr>
      <w:ind w:left="568" w:hanging="284"/>
    </w:pPr>
  </w:style>
  <w:style w:type="paragraph" w:styleId="16">
    <w:name w:val="toc 7"/>
    <w:basedOn w:val="17"/>
    <w:next w:val="1"/>
    <w:semiHidden/>
    <w:uiPriority w:val="0"/>
    <w:pPr>
      <w:tabs>
        <w:tab w:val="right" w:leader="dot" w:pos="9639"/>
      </w:tabs>
      <w:ind w:left="2268" w:hanging="2268"/>
    </w:pPr>
  </w:style>
  <w:style w:type="paragraph" w:styleId="17">
    <w:name w:val="toc 6"/>
    <w:basedOn w:val="18"/>
    <w:next w:val="1"/>
    <w:semiHidden/>
    <w:uiPriority w:val="0"/>
    <w:pPr>
      <w:tabs>
        <w:tab w:val="right" w:leader="dot" w:pos="9639"/>
      </w:tabs>
      <w:ind w:left="1985" w:hanging="1985"/>
    </w:pPr>
  </w:style>
  <w:style w:type="paragraph" w:styleId="18">
    <w:name w:val="toc 5"/>
    <w:basedOn w:val="19"/>
    <w:semiHidden/>
    <w:uiPriority w:val="0"/>
    <w:pPr>
      <w:tabs>
        <w:tab w:val="right" w:leader="dot" w:pos="9639"/>
      </w:tabs>
      <w:ind w:left="1701" w:hanging="1701"/>
    </w:pPr>
  </w:style>
  <w:style w:type="paragraph" w:styleId="19">
    <w:name w:val="toc 4"/>
    <w:basedOn w:val="20"/>
    <w:semiHidden/>
    <w:uiPriority w:val="0"/>
    <w:pPr>
      <w:tabs>
        <w:tab w:val="right" w:leader="dot" w:pos="9639"/>
      </w:tabs>
      <w:ind w:left="1418" w:hanging="1418"/>
    </w:pPr>
  </w:style>
  <w:style w:type="paragraph" w:styleId="20">
    <w:name w:val="toc 3"/>
    <w:basedOn w:val="21"/>
    <w:semiHidden/>
    <w:uiPriority w:val="0"/>
    <w:pPr>
      <w:tabs>
        <w:tab w:val="right" w:leader="dot" w:pos="9639"/>
      </w:tabs>
      <w:ind w:left="1134" w:hanging="1134"/>
    </w:pPr>
  </w:style>
  <w:style w:type="paragraph" w:styleId="21">
    <w:name w:val="toc 2"/>
    <w:basedOn w:val="22"/>
    <w:semiHidden/>
    <w:uiPriority w:val="0"/>
    <w:pPr>
      <w:keepNext w:val="0"/>
      <w:tabs>
        <w:tab w:val="right" w:leader="dot" w:pos="9639"/>
      </w:tabs>
      <w:spacing w:before="0"/>
      <w:ind w:left="851" w:hanging="851"/>
    </w:pPr>
    <w:rPr>
      <w:sz w:val="20"/>
    </w:rPr>
  </w:style>
  <w:style w:type="paragraph" w:styleId="22">
    <w:name w:val="toc 1"/>
    <w:semiHidden/>
    <w:uiPriority w:val="0"/>
    <w:pPr>
      <w:keepNext/>
      <w:keepLines/>
      <w:widowControl w:val="0"/>
      <w:tabs>
        <w:tab w:val="right" w:leader="dot" w:pos="9639"/>
      </w:tabs>
      <w:spacing w:before="120"/>
      <w:ind w:left="567" w:right="425" w:hanging="567"/>
    </w:pPr>
    <w:rPr>
      <w:rFonts w:ascii="Times New Roman" w:hAnsi="Times New Roman"/>
      <w:sz w:val="22"/>
      <w:lang w:val="en-GB" w:eastAsia="en-US" w:bidi="ar-SA"/>
    </w:rPr>
  </w:style>
  <w:style w:type="paragraph" w:styleId="23">
    <w:name w:val="List Number 2"/>
    <w:basedOn w:val="24"/>
    <w:uiPriority w:val="0"/>
    <w:pPr>
      <w:ind w:left="851"/>
    </w:pPr>
  </w:style>
  <w:style w:type="paragraph" w:styleId="24">
    <w:name w:val="List Number"/>
    <w:basedOn w:val="15"/>
    <w:uiPriority w:val="0"/>
    <w:pPr>
      <w:numPr>
        <w:ilvl w:val="0"/>
        <w:numId w:val="0"/>
      </w:numPr>
    </w:pPr>
  </w:style>
  <w:style w:type="paragraph" w:styleId="25">
    <w:name w:val="table of authorities"/>
    <w:basedOn w:val="1"/>
    <w:next w:val="1"/>
    <w:uiPriority w:val="0"/>
    <w:pPr>
      <w:ind w:left="200" w:hanging="200"/>
    </w:pPr>
  </w:style>
  <w:style w:type="paragraph" w:styleId="26">
    <w:name w:val="Note Heading"/>
    <w:basedOn w:val="1"/>
    <w:next w:val="1"/>
    <w:link w:val="96"/>
    <w:uiPriority w:val="0"/>
  </w:style>
  <w:style w:type="paragraph" w:styleId="27">
    <w:name w:val="List Bullet 4"/>
    <w:basedOn w:val="28"/>
    <w:uiPriority w:val="0"/>
    <w:pPr>
      <w:ind w:left="1418"/>
    </w:pPr>
  </w:style>
  <w:style w:type="paragraph" w:styleId="28">
    <w:name w:val="List Bullet 3"/>
    <w:basedOn w:val="29"/>
    <w:uiPriority w:val="0"/>
    <w:pPr>
      <w:ind w:left="1135"/>
    </w:pPr>
  </w:style>
  <w:style w:type="paragraph" w:styleId="29">
    <w:name w:val="List Bullet 2"/>
    <w:basedOn w:val="30"/>
    <w:uiPriority w:val="0"/>
    <w:pPr>
      <w:ind w:left="851"/>
    </w:pPr>
  </w:style>
  <w:style w:type="paragraph" w:styleId="30">
    <w:name w:val="List Bullet"/>
    <w:basedOn w:val="15"/>
    <w:uiPriority w:val="0"/>
    <w:pPr>
      <w:numPr>
        <w:ilvl w:val="0"/>
        <w:numId w:val="0"/>
      </w:numPr>
    </w:pPr>
  </w:style>
  <w:style w:type="paragraph" w:styleId="31">
    <w:name w:val="index 8"/>
    <w:basedOn w:val="1"/>
    <w:next w:val="1"/>
    <w:uiPriority w:val="0"/>
    <w:pPr>
      <w:ind w:left="1600" w:hanging="200"/>
    </w:pPr>
  </w:style>
  <w:style w:type="paragraph" w:styleId="32">
    <w:name w:val="E-mail Signature"/>
    <w:basedOn w:val="1"/>
    <w:link w:val="97"/>
    <w:uiPriority w:val="0"/>
  </w:style>
  <w:style w:type="paragraph" w:styleId="33">
    <w:name w:val="Normal Indent"/>
    <w:basedOn w:val="1"/>
    <w:uiPriority w:val="0"/>
    <w:pPr>
      <w:ind w:left="720"/>
    </w:pPr>
  </w:style>
  <w:style w:type="paragraph" w:styleId="34">
    <w:name w:val="caption"/>
    <w:basedOn w:val="1"/>
    <w:next w:val="1"/>
    <w:unhideWhenUsed/>
    <w:qFormat/>
    <w:uiPriority w:val="0"/>
    <w:rPr>
      <w:b/>
      <w:bCs/>
    </w:rPr>
  </w:style>
  <w:style w:type="paragraph" w:styleId="35">
    <w:name w:val="index 5"/>
    <w:basedOn w:val="1"/>
    <w:next w:val="1"/>
    <w:uiPriority w:val="0"/>
    <w:pPr>
      <w:ind w:left="1000" w:hanging="200"/>
    </w:pPr>
  </w:style>
  <w:style w:type="paragraph" w:styleId="36">
    <w:name w:val="envelope address"/>
    <w:basedOn w:val="1"/>
    <w:uiPriority w:val="0"/>
    <w:pPr>
      <w:framePr w:w="7920" w:h="1980" w:hRule="exact" w:hSpace="180" w:wrap="auto" w:vAnchor="margin" w:hAnchor="page" w:xAlign="center" w:yAlign="bottom"/>
      <w:ind w:left="2880"/>
    </w:pPr>
    <w:rPr>
      <w:rFonts w:ascii="Calibri Light" w:hAnsi="Calibri Light" w:eastAsia="Times New Roman"/>
      <w:sz w:val="24"/>
      <w:szCs w:val="24"/>
    </w:rPr>
  </w:style>
  <w:style w:type="paragraph" w:styleId="37">
    <w:name w:val="Document Map"/>
    <w:basedOn w:val="1"/>
    <w:link w:val="98"/>
    <w:uiPriority w:val="0"/>
    <w:rPr>
      <w:rFonts w:ascii="Segoe UI" w:hAnsi="Segoe UI" w:cs="Segoe UI"/>
      <w:sz w:val="16"/>
      <w:szCs w:val="16"/>
    </w:rPr>
  </w:style>
  <w:style w:type="paragraph" w:styleId="38">
    <w:name w:val="toa heading"/>
    <w:basedOn w:val="1"/>
    <w:next w:val="1"/>
    <w:uiPriority w:val="0"/>
    <w:pPr>
      <w:spacing w:before="120"/>
    </w:pPr>
    <w:rPr>
      <w:rFonts w:ascii="Calibri Light" w:hAnsi="Calibri Light" w:eastAsia="Times New Roman"/>
      <w:b/>
      <w:bCs/>
      <w:sz w:val="24"/>
      <w:szCs w:val="24"/>
    </w:rPr>
  </w:style>
  <w:style w:type="paragraph" w:styleId="39">
    <w:name w:val="annotation text"/>
    <w:basedOn w:val="1"/>
    <w:link w:val="99"/>
    <w:semiHidden/>
    <w:uiPriority w:val="0"/>
  </w:style>
  <w:style w:type="paragraph" w:styleId="40">
    <w:name w:val="index 6"/>
    <w:basedOn w:val="1"/>
    <w:next w:val="1"/>
    <w:uiPriority w:val="0"/>
    <w:pPr>
      <w:ind w:left="1200" w:hanging="200"/>
    </w:pPr>
  </w:style>
  <w:style w:type="paragraph" w:styleId="41">
    <w:name w:val="Salutation"/>
    <w:basedOn w:val="1"/>
    <w:next w:val="1"/>
    <w:link w:val="100"/>
    <w:uiPriority w:val="0"/>
  </w:style>
  <w:style w:type="paragraph" w:styleId="42">
    <w:name w:val="Body Text 3"/>
    <w:basedOn w:val="1"/>
    <w:link w:val="101"/>
    <w:uiPriority w:val="0"/>
    <w:pPr>
      <w:spacing w:after="120"/>
    </w:pPr>
    <w:rPr>
      <w:sz w:val="16"/>
      <w:szCs w:val="16"/>
    </w:rPr>
  </w:style>
  <w:style w:type="paragraph" w:styleId="43">
    <w:name w:val="Closing"/>
    <w:basedOn w:val="1"/>
    <w:link w:val="102"/>
    <w:uiPriority w:val="0"/>
    <w:pPr>
      <w:ind w:left="4252"/>
    </w:pPr>
  </w:style>
  <w:style w:type="paragraph" w:styleId="44">
    <w:name w:val="Body Text"/>
    <w:basedOn w:val="1"/>
    <w:link w:val="103"/>
    <w:uiPriority w:val="0"/>
    <w:pPr>
      <w:spacing w:after="120"/>
    </w:pPr>
  </w:style>
  <w:style w:type="paragraph" w:styleId="45">
    <w:name w:val="Body Text Indent"/>
    <w:basedOn w:val="1"/>
    <w:link w:val="104"/>
    <w:uiPriority w:val="0"/>
    <w:pPr>
      <w:spacing w:after="120"/>
      <w:ind w:left="283"/>
    </w:pPr>
  </w:style>
  <w:style w:type="paragraph" w:styleId="46">
    <w:name w:val="List Number 3"/>
    <w:basedOn w:val="1"/>
    <w:uiPriority w:val="0"/>
    <w:pPr>
      <w:numPr>
        <w:ilvl w:val="0"/>
        <w:numId w:val="1"/>
      </w:numPr>
      <w:contextualSpacing/>
    </w:pPr>
  </w:style>
  <w:style w:type="paragraph" w:styleId="47">
    <w:name w:val="List Continue"/>
    <w:basedOn w:val="1"/>
    <w:uiPriority w:val="0"/>
    <w:pPr>
      <w:spacing w:after="120"/>
      <w:ind w:left="283"/>
      <w:contextualSpacing/>
    </w:pPr>
  </w:style>
  <w:style w:type="paragraph" w:styleId="48">
    <w:name w:val="Block Text"/>
    <w:basedOn w:val="1"/>
    <w:uiPriority w:val="0"/>
    <w:pPr>
      <w:spacing w:after="120"/>
      <w:ind w:left="1440" w:right="1440"/>
    </w:pPr>
  </w:style>
  <w:style w:type="paragraph" w:styleId="49">
    <w:name w:val="HTML Address"/>
    <w:basedOn w:val="1"/>
    <w:link w:val="105"/>
    <w:uiPriority w:val="0"/>
    <w:rPr>
      <w:i/>
      <w:iCs/>
    </w:rPr>
  </w:style>
  <w:style w:type="paragraph" w:styleId="50">
    <w:name w:val="index 4"/>
    <w:basedOn w:val="1"/>
    <w:next w:val="1"/>
    <w:uiPriority w:val="0"/>
    <w:pPr>
      <w:ind w:left="800" w:hanging="200"/>
    </w:pPr>
  </w:style>
  <w:style w:type="paragraph" w:styleId="51">
    <w:name w:val="Plain Text"/>
    <w:basedOn w:val="1"/>
    <w:link w:val="106"/>
    <w:uiPriority w:val="0"/>
    <w:rPr>
      <w:rFonts w:ascii="Courier New" w:hAnsi="Courier New" w:cs="Courier New"/>
    </w:rPr>
  </w:style>
  <w:style w:type="paragraph" w:styleId="52">
    <w:name w:val="List Bullet 5"/>
    <w:basedOn w:val="27"/>
    <w:uiPriority w:val="0"/>
    <w:pPr>
      <w:ind w:left="1702"/>
    </w:pPr>
  </w:style>
  <w:style w:type="paragraph" w:styleId="53">
    <w:name w:val="List Number 4"/>
    <w:basedOn w:val="1"/>
    <w:uiPriority w:val="0"/>
    <w:pPr>
      <w:numPr>
        <w:ilvl w:val="0"/>
        <w:numId w:val="2"/>
      </w:numPr>
      <w:contextualSpacing/>
    </w:pPr>
  </w:style>
  <w:style w:type="paragraph" w:styleId="54">
    <w:name w:val="toc 8"/>
    <w:basedOn w:val="22"/>
    <w:semiHidden/>
    <w:uiPriority w:val="0"/>
    <w:pPr>
      <w:spacing w:before="180"/>
      <w:ind w:left="2693" w:hanging="2693"/>
    </w:pPr>
    <w:rPr>
      <w:b/>
    </w:rPr>
  </w:style>
  <w:style w:type="paragraph" w:styleId="55">
    <w:name w:val="index 3"/>
    <w:basedOn w:val="1"/>
    <w:next w:val="1"/>
    <w:uiPriority w:val="0"/>
    <w:pPr>
      <w:ind w:left="600" w:hanging="200"/>
    </w:pPr>
  </w:style>
  <w:style w:type="paragraph" w:styleId="56">
    <w:name w:val="Date"/>
    <w:basedOn w:val="1"/>
    <w:next w:val="1"/>
    <w:link w:val="107"/>
    <w:uiPriority w:val="0"/>
  </w:style>
  <w:style w:type="paragraph" w:styleId="57">
    <w:name w:val="Body Text Indent 2"/>
    <w:basedOn w:val="1"/>
    <w:link w:val="108"/>
    <w:uiPriority w:val="0"/>
    <w:pPr>
      <w:spacing w:after="120" w:line="480" w:lineRule="auto"/>
      <w:ind w:left="283"/>
    </w:pPr>
  </w:style>
  <w:style w:type="paragraph" w:styleId="58">
    <w:name w:val="endnote text"/>
    <w:basedOn w:val="1"/>
    <w:link w:val="109"/>
    <w:uiPriority w:val="0"/>
  </w:style>
  <w:style w:type="paragraph" w:styleId="59">
    <w:name w:val="List Continue 5"/>
    <w:basedOn w:val="1"/>
    <w:uiPriority w:val="0"/>
    <w:pPr>
      <w:spacing w:after="120"/>
      <w:ind w:left="1415"/>
      <w:contextualSpacing/>
    </w:pPr>
  </w:style>
  <w:style w:type="paragraph" w:styleId="60">
    <w:name w:val="Balloon Text"/>
    <w:basedOn w:val="1"/>
    <w:link w:val="110"/>
    <w:semiHidden/>
    <w:uiPriority w:val="99"/>
    <w:rPr>
      <w:rFonts w:ascii="Tahoma" w:hAnsi="Tahoma" w:cs="Tahoma"/>
      <w:sz w:val="16"/>
      <w:szCs w:val="16"/>
    </w:rPr>
  </w:style>
  <w:style w:type="paragraph" w:styleId="61">
    <w:name w:val="footer"/>
    <w:basedOn w:val="62"/>
    <w:uiPriority w:val="0"/>
    <w:pPr>
      <w:jc w:val="center"/>
    </w:pPr>
    <w:rPr>
      <w:i/>
    </w:rPr>
  </w:style>
  <w:style w:type="paragraph" w:styleId="62">
    <w:name w:val="header"/>
    <w:link w:val="111"/>
    <w:uiPriority w:val="0"/>
    <w:pPr>
      <w:widowControl w:val="0"/>
    </w:pPr>
    <w:rPr>
      <w:rFonts w:ascii="Arial" w:hAnsi="Arial"/>
      <w:b/>
      <w:sz w:val="18"/>
      <w:lang w:val="en-GB" w:eastAsia="en-US" w:bidi="ar-SA"/>
    </w:rPr>
  </w:style>
  <w:style w:type="paragraph" w:styleId="63">
    <w:name w:val="envelope return"/>
    <w:basedOn w:val="1"/>
    <w:uiPriority w:val="0"/>
    <w:rPr>
      <w:rFonts w:ascii="Calibri Light" w:hAnsi="Calibri Light" w:eastAsia="Times New Roman"/>
    </w:rPr>
  </w:style>
  <w:style w:type="paragraph" w:styleId="64">
    <w:name w:val="Signature"/>
    <w:basedOn w:val="1"/>
    <w:link w:val="112"/>
    <w:uiPriority w:val="0"/>
    <w:pPr>
      <w:ind w:left="4252"/>
    </w:pPr>
  </w:style>
  <w:style w:type="paragraph" w:styleId="65">
    <w:name w:val="List Continue 4"/>
    <w:basedOn w:val="1"/>
    <w:uiPriority w:val="0"/>
    <w:pPr>
      <w:spacing w:after="120"/>
      <w:ind w:left="1132"/>
      <w:contextualSpacing/>
    </w:pPr>
  </w:style>
  <w:style w:type="paragraph" w:styleId="66">
    <w:name w:val="index heading"/>
    <w:basedOn w:val="1"/>
    <w:next w:val="67"/>
    <w:uiPriority w:val="0"/>
    <w:rPr>
      <w:rFonts w:ascii="Calibri Light" w:hAnsi="Calibri Light" w:eastAsia="Times New Roman"/>
      <w:b/>
      <w:bCs/>
    </w:rPr>
  </w:style>
  <w:style w:type="paragraph" w:styleId="67">
    <w:name w:val="index 1"/>
    <w:basedOn w:val="1"/>
    <w:semiHidden/>
    <w:uiPriority w:val="0"/>
    <w:pPr>
      <w:keepLines/>
      <w:spacing w:after="0"/>
    </w:pPr>
  </w:style>
  <w:style w:type="paragraph" w:styleId="68">
    <w:name w:val="Subtitle"/>
    <w:basedOn w:val="1"/>
    <w:next w:val="1"/>
    <w:link w:val="113"/>
    <w:qFormat/>
    <w:uiPriority w:val="0"/>
    <w:pPr>
      <w:spacing w:after="60"/>
      <w:jc w:val="center"/>
      <w:outlineLvl w:val="1"/>
    </w:pPr>
    <w:rPr>
      <w:rFonts w:ascii="Calibri Light" w:hAnsi="Calibri Light" w:eastAsia="Times New Roman"/>
      <w:sz w:val="24"/>
      <w:szCs w:val="24"/>
    </w:rPr>
  </w:style>
  <w:style w:type="paragraph" w:styleId="69">
    <w:name w:val="List Number 5"/>
    <w:basedOn w:val="1"/>
    <w:uiPriority w:val="0"/>
    <w:pPr>
      <w:numPr>
        <w:ilvl w:val="0"/>
        <w:numId w:val="3"/>
      </w:numPr>
      <w:contextualSpacing/>
    </w:pPr>
  </w:style>
  <w:style w:type="paragraph" w:styleId="70">
    <w:name w:val="footnote text"/>
    <w:basedOn w:val="1"/>
    <w:semiHidden/>
    <w:uiPriority w:val="0"/>
    <w:pPr>
      <w:keepLines/>
      <w:spacing w:after="0"/>
      <w:ind w:left="454" w:hanging="454"/>
    </w:pPr>
    <w:rPr>
      <w:sz w:val="16"/>
    </w:rPr>
  </w:style>
  <w:style w:type="paragraph" w:styleId="71">
    <w:name w:val="List 5"/>
    <w:basedOn w:val="72"/>
    <w:uiPriority w:val="0"/>
    <w:pPr>
      <w:ind w:left="1702"/>
    </w:pPr>
  </w:style>
  <w:style w:type="paragraph" w:styleId="72">
    <w:name w:val="List 4"/>
    <w:basedOn w:val="13"/>
    <w:uiPriority w:val="0"/>
    <w:pPr>
      <w:ind w:left="1418"/>
    </w:pPr>
  </w:style>
  <w:style w:type="paragraph" w:styleId="73">
    <w:name w:val="Body Text Indent 3"/>
    <w:basedOn w:val="1"/>
    <w:link w:val="114"/>
    <w:uiPriority w:val="0"/>
    <w:pPr>
      <w:spacing w:after="120"/>
      <w:ind w:left="283"/>
    </w:pPr>
    <w:rPr>
      <w:sz w:val="16"/>
      <w:szCs w:val="16"/>
    </w:rPr>
  </w:style>
  <w:style w:type="paragraph" w:styleId="74">
    <w:name w:val="index 7"/>
    <w:basedOn w:val="1"/>
    <w:next w:val="1"/>
    <w:uiPriority w:val="0"/>
    <w:pPr>
      <w:ind w:left="1400" w:hanging="200"/>
    </w:pPr>
  </w:style>
  <w:style w:type="paragraph" w:styleId="75">
    <w:name w:val="index 9"/>
    <w:basedOn w:val="1"/>
    <w:next w:val="1"/>
    <w:uiPriority w:val="0"/>
    <w:pPr>
      <w:ind w:left="1800" w:hanging="200"/>
    </w:pPr>
  </w:style>
  <w:style w:type="paragraph" w:styleId="76">
    <w:name w:val="table of figures"/>
    <w:basedOn w:val="1"/>
    <w:next w:val="1"/>
    <w:uiPriority w:val="0"/>
  </w:style>
  <w:style w:type="paragraph" w:styleId="77">
    <w:name w:val="toc 9"/>
    <w:basedOn w:val="54"/>
    <w:semiHidden/>
    <w:uiPriority w:val="0"/>
    <w:pPr>
      <w:ind w:left="1418" w:hanging="1418"/>
    </w:pPr>
  </w:style>
  <w:style w:type="paragraph" w:styleId="78">
    <w:name w:val="Body Text 2"/>
    <w:basedOn w:val="1"/>
    <w:link w:val="115"/>
    <w:uiPriority w:val="0"/>
    <w:pPr>
      <w:spacing w:after="120" w:line="480" w:lineRule="auto"/>
    </w:pPr>
  </w:style>
  <w:style w:type="paragraph" w:styleId="79">
    <w:name w:val="List Continue 2"/>
    <w:basedOn w:val="1"/>
    <w:uiPriority w:val="0"/>
    <w:pPr>
      <w:spacing w:after="120"/>
      <w:ind w:left="566"/>
      <w:contextualSpacing/>
    </w:pPr>
  </w:style>
  <w:style w:type="paragraph" w:styleId="80">
    <w:name w:val="Message Header"/>
    <w:basedOn w:val="1"/>
    <w:link w:val="116"/>
    <w:uiPriority w:val="0"/>
    <w:pPr>
      <w:pBdr>
        <w:top w:val="single" w:color="auto" w:sz="6" w:space="1"/>
        <w:left w:val="single" w:color="auto" w:sz="6" w:space="1"/>
        <w:bottom w:val="single" w:color="auto" w:sz="6" w:space="1"/>
        <w:right w:val="single" w:color="auto" w:sz="6" w:space="1"/>
      </w:pBdr>
      <w:shd w:val="pct20" w:color="auto" w:fill="auto"/>
      <w:ind w:left="1134" w:hanging="1134"/>
    </w:pPr>
    <w:rPr>
      <w:rFonts w:ascii="Calibri Light" w:hAnsi="Calibri Light" w:eastAsia="Times New Roman"/>
      <w:sz w:val="24"/>
      <w:szCs w:val="24"/>
    </w:rPr>
  </w:style>
  <w:style w:type="paragraph" w:styleId="81">
    <w:name w:val="HTML Preformatted"/>
    <w:basedOn w:val="1"/>
    <w:link w:val="117"/>
    <w:uiPriority w:val="0"/>
    <w:rPr>
      <w:rFonts w:ascii="Courier New" w:hAnsi="Courier New" w:cs="Courier New"/>
    </w:rPr>
  </w:style>
  <w:style w:type="paragraph" w:styleId="82">
    <w:name w:val="Normal (Web)"/>
    <w:basedOn w:val="1"/>
    <w:uiPriority w:val="0"/>
    <w:rPr>
      <w:sz w:val="24"/>
      <w:szCs w:val="24"/>
    </w:rPr>
  </w:style>
  <w:style w:type="paragraph" w:styleId="83">
    <w:name w:val="List Continue 3"/>
    <w:basedOn w:val="1"/>
    <w:uiPriority w:val="0"/>
    <w:pPr>
      <w:spacing w:after="120"/>
      <w:ind w:left="849"/>
      <w:contextualSpacing/>
    </w:pPr>
  </w:style>
  <w:style w:type="paragraph" w:styleId="84">
    <w:name w:val="index 2"/>
    <w:basedOn w:val="67"/>
    <w:semiHidden/>
    <w:uiPriority w:val="0"/>
    <w:pPr>
      <w:ind w:left="284"/>
    </w:pPr>
  </w:style>
  <w:style w:type="paragraph" w:styleId="85">
    <w:name w:val="Title"/>
    <w:basedOn w:val="1"/>
    <w:next w:val="1"/>
    <w:link w:val="118"/>
    <w:qFormat/>
    <w:uiPriority w:val="0"/>
    <w:pPr>
      <w:spacing w:before="240" w:after="60"/>
      <w:jc w:val="center"/>
      <w:outlineLvl w:val="0"/>
    </w:pPr>
    <w:rPr>
      <w:rFonts w:ascii="Calibri Light" w:hAnsi="Calibri Light" w:eastAsia="Times New Roman"/>
      <w:b/>
      <w:bCs/>
      <w:kern w:val="28"/>
      <w:sz w:val="32"/>
      <w:szCs w:val="32"/>
    </w:rPr>
  </w:style>
  <w:style w:type="paragraph" w:styleId="86">
    <w:name w:val="annotation subject"/>
    <w:basedOn w:val="39"/>
    <w:next w:val="39"/>
    <w:link w:val="119"/>
    <w:uiPriority w:val="0"/>
    <w:rPr>
      <w:b/>
      <w:bCs/>
    </w:rPr>
  </w:style>
  <w:style w:type="paragraph" w:styleId="87">
    <w:name w:val="Body Text First Indent"/>
    <w:basedOn w:val="44"/>
    <w:link w:val="120"/>
    <w:uiPriority w:val="0"/>
    <w:pPr>
      <w:ind w:firstLine="210"/>
    </w:pPr>
  </w:style>
  <w:style w:type="paragraph" w:styleId="88">
    <w:name w:val="Body Text First Indent 2"/>
    <w:basedOn w:val="45"/>
    <w:link w:val="121"/>
    <w:uiPriority w:val="0"/>
    <w:pPr>
      <w:ind w:firstLine="210"/>
    </w:pPr>
  </w:style>
  <w:style w:type="character" w:styleId="91">
    <w:name w:val="FollowedHyperlink"/>
    <w:uiPriority w:val="0"/>
    <w:rPr>
      <w:color w:val="800080"/>
      <w:u w:val="single"/>
    </w:rPr>
  </w:style>
  <w:style w:type="character" w:styleId="92">
    <w:name w:val="Hyperlink"/>
    <w:uiPriority w:val="0"/>
    <w:rPr>
      <w:color w:val="0000FF"/>
      <w:u w:val="single"/>
    </w:rPr>
  </w:style>
  <w:style w:type="character" w:styleId="93">
    <w:name w:val="annotation reference"/>
    <w:semiHidden/>
    <w:uiPriority w:val="0"/>
    <w:rPr>
      <w:sz w:val="16"/>
    </w:rPr>
  </w:style>
  <w:style w:type="character" w:styleId="94">
    <w:name w:val="footnote reference"/>
    <w:semiHidden/>
    <w:uiPriority w:val="0"/>
    <w:rPr>
      <w:b/>
      <w:position w:val="6"/>
      <w:sz w:val="16"/>
    </w:rPr>
  </w:style>
  <w:style w:type="character" w:customStyle="1" w:styleId="95">
    <w:name w:val="宏文本 Char"/>
    <w:link w:val="2"/>
    <w:uiPriority w:val="0"/>
    <w:rPr>
      <w:rFonts w:ascii="Courier New" w:hAnsi="Courier New" w:cs="Courier New"/>
      <w:lang w:eastAsia="en-US"/>
    </w:rPr>
  </w:style>
  <w:style w:type="character" w:customStyle="1" w:styleId="96">
    <w:name w:val="注释标题 Char"/>
    <w:link w:val="26"/>
    <w:uiPriority w:val="0"/>
    <w:rPr>
      <w:rFonts w:ascii="Times New Roman" w:hAnsi="Times New Roman"/>
      <w:lang w:eastAsia="en-US"/>
    </w:rPr>
  </w:style>
  <w:style w:type="character" w:customStyle="1" w:styleId="97">
    <w:name w:val="电子邮件签名 Char"/>
    <w:link w:val="32"/>
    <w:uiPriority w:val="0"/>
    <w:rPr>
      <w:rFonts w:ascii="Times New Roman" w:hAnsi="Times New Roman"/>
      <w:lang w:eastAsia="en-US"/>
    </w:rPr>
  </w:style>
  <w:style w:type="character" w:customStyle="1" w:styleId="98">
    <w:name w:val="文档结构图 Char"/>
    <w:link w:val="37"/>
    <w:uiPriority w:val="0"/>
    <w:rPr>
      <w:rFonts w:ascii="Segoe UI" w:hAnsi="Segoe UI" w:cs="Segoe UI"/>
      <w:sz w:val="16"/>
      <w:szCs w:val="16"/>
      <w:lang w:eastAsia="en-US"/>
    </w:rPr>
  </w:style>
  <w:style w:type="character" w:customStyle="1" w:styleId="99">
    <w:name w:val="批注文字 Char"/>
    <w:link w:val="39"/>
    <w:semiHidden/>
    <w:uiPriority w:val="0"/>
    <w:rPr>
      <w:rFonts w:ascii="Times New Roman" w:hAnsi="Times New Roman"/>
      <w:lang w:eastAsia="en-US"/>
    </w:rPr>
  </w:style>
  <w:style w:type="character" w:customStyle="1" w:styleId="100">
    <w:name w:val="称呼 Char"/>
    <w:link w:val="41"/>
    <w:uiPriority w:val="0"/>
    <w:rPr>
      <w:rFonts w:ascii="Times New Roman" w:hAnsi="Times New Roman"/>
      <w:lang w:eastAsia="en-US"/>
    </w:rPr>
  </w:style>
  <w:style w:type="character" w:customStyle="1" w:styleId="101">
    <w:name w:val="正文文本 3 Char"/>
    <w:link w:val="42"/>
    <w:uiPriority w:val="0"/>
    <w:rPr>
      <w:rFonts w:ascii="Times New Roman" w:hAnsi="Times New Roman"/>
      <w:sz w:val="16"/>
      <w:szCs w:val="16"/>
      <w:lang w:eastAsia="en-US"/>
    </w:rPr>
  </w:style>
  <w:style w:type="character" w:customStyle="1" w:styleId="102">
    <w:name w:val="结束语 Char"/>
    <w:link w:val="43"/>
    <w:uiPriority w:val="0"/>
    <w:rPr>
      <w:rFonts w:ascii="Times New Roman" w:hAnsi="Times New Roman"/>
      <w:lang w:eastAsia="en-US"/>
    </w:rPr>
  </w:style>
  <w:style w:type="character" w:customStyle="1" w:styleId="103">
    <w:name w:val="正文文本 Char"/>
    <w:link w:val="44"/>
    <w:uiPriority w:val="0"/>
    <w:rPr>
      <w:rFonts w:ascii="Times New Roman" w:hAnsi="Times New Roman"/>
      <w:lang w:eastAsia="en-US"/>
    </w:rPr>
  </w:style>
  <w:style w:type="character" w:customStyle="1" w:styleId="104">
    <w:name w:val="正文文本缩进 Char"/>
    <w:link w:val="45"/>
    <w:uiPriority w:val="0"/>
    <w:rPr>
      <w:rFonts w:ascii="Times New Roman" w:hAnsi="Times New Roman"/>
      <w:lang w:eastAsia="en-US"/>
    </w:rPr>
  </w:style>
  <w:style w:type="character" w:customStyle="1" w:styleId="105">
    <w:name w:val="HTML 地址 Char"/>
    <w:link w:val="49"/>
    <w:uiPriority w:val="0"/>
    <w:rPr>
      <w:rFonts w:ascii="Times New Roman" w:hAnsi="Times New Roman"/>
      <w:i/>
      <w:iCs/>
      <w:lang w:eastAsia="en-US"/>
    </w:rPr>
  </w:style>
  <w:style w:type="character" w:customStyle="1" w:styleId="106">
    <w:name w:val="纯文本 Char"/>
    <w:link w:val="51"/>
    <w:uiPriority w:val="0"/>
    <w:rPr>
      <w:rFonts w:ascii="Courier New" w:hAnsi="Courier New" w:cs="Courier New"/>
      <w:lang w:eastAsia="en-US"/>
    </w:rPr>
  </w:style>
  <w:style w:type="character" w:customStyle="1" w:styleId="107">
    <w:name w:val="日期 Char"/>
    <w:link w:val="56"/>
    <w:uiPriority w:val="0"/>
    <w:rPr>
      <w:rFonts w:ascii="Times New Roman" w:hAnsi="Times New Roman"/>
      <w:lang w:eastAsia="en-US"/>
    </w:rPr>
  </w:style>
  <w:style w:type="character" w:customStyle="1" w:styleId="108">
    <w:name w:val="正文文本缩进 2 Char"/>
    <w:link w:val="57"/>
    <w:uiPriority w:val="0"/>
    <w:rPr>
      <w:rFonts w:ascii="Times New Roman" w:hAnsi="Times New Roman"/>
      <w:lang w:eastAsia="en-US"/>
    </w:rPr>
  </w:style>
  <w:style w:type="character" w:customStyle="1" w:styleId="109">
    <w:name w:val="尾注文本 Char"/>
    <w:link w:val="58"/>
    <w:uiPriority w:val="0"/>
    <w:rPr>
      <w:rFonts w:ascii="Times New Roman" w:hAnsi="Times New Roman"/>
      <w:lang w:eastAsia="en-US"/>
    </w:rPr>
  </w:style>
  <w:style w:type="character" w:customStyle="1" w:styleId="110">
    <w:name w:val="批注框文本 Char"/>
    <w:link w:val="60"/>
    <w:semiHidden/>
    <w:uiPriority w:val="99"/>
    <w:rPr>
      <w:rFonts w:ascii="Tahoma" w:hAnsi="Tahoma" w:cs="Tahoma"/>
      <w:sz w:val="16"/>
      <w:szCs w:val="16"/>
      <w:lang w:eastAsia="en-US"/>
    </w:rPr>
  </w:style>
  <w:style w:type="character" w:customStyle="1" w:styleId="111">
    <w:name w:val="页眉 Char"/>
    <w:aliases w:val="header odd Char,header Char,header odd1 Char,header odd2 Char,header odd3 Char,header odd4 Char,header odd5 Char,header odd6 Char"/>
    <w:link w:val="62"/>
    <w:uiPriority w:val="0"/>
    <w:rPr>
      <w:rFonts w:ascii="Arial" w:hAnsi="Arial"/>
      <w:b/>
      <w:sz w:val="18"/>
      <w:lang w:eastAsia="en-US"/>
    </w:rPr>
  </w:style>
  <w:style w:type="character" w:customStyle="1" w:styleId="112">
    <w:name w:val="签名 Char"/>
    <w:link w:val="64"/>
    <w:uiPriority w:val="0"/>
    <w:rPr>
      <w:rFonts w:ascii="Times New Roman" w:hAnsi="Times New Roman"/>
      <w:lang w:eastAsia="en-US"/>
    </w:rPr>
  </w:style>
  <w:style w:type="character" w:customStyle="1" w:styleId="113">
    <w:name w:val="副标题 Char"/>
    <w:link w:val="68"/>
    <w:uiPriority w:val="0"/>
    <w:rPr>
      <w:rFonts w:ascii="Calibri Light" w:hAnsi="Calibri Light" w:eastAsia="Times New Roman"/>
      <w:sz w:val="24"/>
      <w:szCs w:val="24"/>
      <w:lang w:eastAsia="en-US"/>
    </w:rPr>
  </w:style>
  <w:style w:type="character" w:customStyle="1" w:styleId="114">
    <w:name w:val="正文文本缩进 3 Char"/>
    <w:link w:val="73"/>
    <w:uiPriority w:val="0"/>
    <w:rPr>
      <w:rFonts w:ascii="Times New Roman" w:hAnsi="Times New Roman"/>
      <w:sz w:val="16"/>
      <w:szCs w:val="16"/>
      <w:lang w:eastAsia="en-US"/>
    </w:rPr>
  </w:style>
  <w:style w:type="character" w:customStyle="1" w:styleId="115">
    <w:name w:val="正文文本 2 Char"/>
    <w:link w:val="78"/>
    <w:uiPriority w:val="0"/>
    <w:rPr>
      <w:rFonts w:ascii="Times New Roman" w:hAnsi="Times New Roman"/>
      <w:lang w:eastAsia="en-US"/>
    </w:rPr>
  </w:style>
  <w:style w:type="character" w:customStyle="1" w:styleId="116">
    <w:name w:val="信息标题 Char"/>
    <w:link w:val="80"/>
    <w:uiPriority w:val="0"/>
    <w:rPr>
      <w:rFonts w:ascii="Calibri Light" w:hAnsi="Calibri Light" w:eastAsia="Times New Roman"/>
      <w:sz w:val="24"/>
      <w:szCs w:val="24"/>
      <w:shd w:val="pct20" w:color="auto" w:fill="auto"/>
      <w:lang w:eastAsia="en-US"/>
    </w:rPr>
  </w:style>
  <w:style w:type="character" w:customStyle="1" w:styleId="117">
    <w:name w:val="HTML 预设格式 Char"/>
    <w:link w:val="81"/>
    <w:uiPriority w:val="0"/>
    <w:rPr>
      <w:rFonts w:ascii="Courier New" w:hAnsi="Courier New" w:cs="Courier New"/>
      <w:lang w:eastAsia="en-US"/>
    </w:rPr>
  </w:style>
  <w:style w:type="character" w:customStyle="1" w:styleId="118">
    <w:name w:val="标题 Char"/>
    <w:link w:val="85"/>
    <w:uiPriority w:val="0"/>
    <w:rPr>
      <w:rFonts w:ascii="Calibri Light" w:hAnsi="Calibri Light" w:eastAsia="Times New Roman"/>
      <w:b/>
      <w:bCs/>
      <w:kern w:val="28"/>
      <w:sz w:val="32"/>
      <w:szCs w:val="32"/>
      <w:lang w:eastAsia="en-US"/>
    </w:rPr>
  </w:style>
  <w:style w:type="character" w:customStyle="1" w:styleId="119">
    <w:name w:val="批注主题 Char"/>
    <w:link w:val="86"/>
    <w:uiPriority w:val="0"/>
    <w:rPr>
      <w:rFonts w:ascii="Times New Roman" w:hAnsi="Times New Roman"/>
      <w:b/>
      <w:bCs/>
      <w:lang w:eastAsia="en-US"/>
    </w:rPr>
  </w:style>
  <w:style w:type="character" w:customStyle="1" w:styleId="120">
    <w:name w:val="正文首行缩进 Char"/>
    <w:basedOn w:val="103"/>
    <w:link w:val="87"/>
    <w:uiPriority w:val="0"/>
  </w:style>
  <w:style w:type="character" w:customStyle="1" w:styleId="121">
    <w:name w:val="正文首行缩进 2 Char"/>
    <w:basedOn w:val="104"/>
    <w:link w:val="88"/>
    <w:uiPriority w:val="0"/>
  </w:style>
  <w:style w:type="paragraph" w:customStyle="1" w:styleId="122">
    <w:name w:val="ZT"/>
    <w:uiPriority w:val="0"/>
    <w:pPr>
      <w:framePr w:wrap="notBeside" w:vAnchor="margin" w:hAnchor="margin" w:yAlign="center"/>
      <w:widowControl w:val="0"/>
      <w:spacing w:line="240" w:lineRule="atLeast"/>
      <w:jc w:val="right"/>
    </w:pPr>
    <w:rPr>
      <w:rFonts w:ascii="Arial" w:hAnsi="Arial"/>
      <w:b/>
      <w:sz w:val="34"/>
      <w:lang w:val="en-GB" w:eastAsia="en-US" w:bidi="ar-SA"/>
    </w:rPr>
  </w:style>
  <w:style w:type="paragraph" w:customStyle="1" w:styleId="123">
    <w:name w:val="ZH"/>
    <w:uiPriority w:val="0"/>
    <w:pPr>
      <w:framePr w:wrap="notBeside" w:vAnchor="page" w:hAnchor="margin" w:xAlign="center" w:y="6805"/>
      <w:widowControl w:val="0"/>
    </w:pPr>
    <w:rPr>
      <w:rFonts w:ascii="Arial" w:hAnsi="Arial"/>
      <w:lang w:val="en-GB" w:eastAsia="en-US" w:bidi="ar-SA"/>
    </w:rPr>
  </w:style>
  <w:style w:type="paragraph" w:customStyle="1" w:styleId="124">
    <w:name w:val="TT"/>
    <w:basedOn w:val="3"/>
    <w:next w:val="1"/>
    <w:uiPriority w:val="0"/>
    <w:pPr>
      <w:outlineLvl w:val="9"/>
    </w:pPr>
  </w:style>
  <w:style w:type="paragraph" w:customStyle="1" w:styleId="125">
    <w:name w:val="TAH"/>
    <w:basedOn w:val="126"/>
    <w:uiPriority w:val="0"/>
    <w:rPr>
      <w:b/>
    </w:rPr>
  </w:style>
  <w:style w:type="paragraph" w:customStyle="1" w:styleId="126">
    <w:name w:val="TAC"/>
    <w:basedOn w:val="127"/>
    <w:uiPriority w:val="0"/>
    <w:pPr>
      <w:jc w:val="center"/>
    </w:pPr>
  </w:style>
  <w:style w:type="paragraph" w:customStyle="1" w:styleId="127">
    <w:name w:val="TAL"/>
    <w:basedOn w:val="1"/>
    <w:uiPriority w:val="0"/>
    <w:pPr>
      <w:keepNext/>
      <w:keepLines/>
      <w:spacing w:after="0"/>
    </w:pPr>
    <w:rPr>
      <w:rFonts w:ascii="Arial" w:hAnsi="Arial"/>
      <w:sz w:val="18"/>
    </w:rPr>
  </w:style>
  <w:style w:type="paragraph" w:customStyle="1" w:styleId="128">
    <w:name w:val="TF"/>
    <w:basedOn w:val="129"/>
    <w:uiPriority w:val="0"/>
    <w:pPr>
      <w:keepNext w:val="0"/>
      <w:keepLines/>
      <w:spacing w:before="0" w:after="240"/>
    </w:pPr>
  </w:style>
  <w:style w:type="paragraph" w:customStyle="1" w:styleId="129">
    <w:name w:val="TH"/>
    <w:basedOn w:val="1"/>
    <w:uiPriority w:val="0"/>
    <w:pPr>
      <w:keepNext/>
      <w:keepLines/>
      <w:spacing w:before="60"/>
      <w:jc w:val="center"/>
    </w:pPr>
    <w:rPr>
      <w:rFonts w:ascii="Arial" w:hAnsi="Arial"/>
      <w:b/>
    </w:rPr>
  </w:style>
  <w:style w:type="paragraph" w:customStyle="1" w:styleId="130">
    <w:name w:val="NO"/>
    <w:basedOn w:val="1"/>
    <w:uiPriority w:val="0"/>
    <w:pPr>
      <w:keepLines/>
      <w:ind w:left="1135" w:hanging="851"/>
    </w:pPr>
  </w:style>
  <w:style w:type="paragraph" w:customStyle="1" w:styleId="131">
    <w:name w:val="EX"/>
    <w:basedOn w:val="1"/>
    <w:uiPriority w:val="0"/>
    <w:pPr>
      <w:keepLines/>
      <w:ind w:left="1702" w:hanging="1418"/>
    </w:pPr>
  </w:style>
  <w:style w:type="paragraph" w:customStyle="1" w:styleId="132">
    <w:name w:val="FP"/>
    <w:basedOn w:val="1"/>
    <w:uiPriority w:val="0"/>
    <w:pPr>
      <w:spacing w:after="0"/>
    </w:pPr>
  </w:style>
  <w:style w:type="paragraph" w:customStyle="1" w:styleId="133">
    <w:name w:val="LD"/>
    <w:uiPriority w:val="0"/>
    <w:pPr>
      <w:keepNext/>
      <w:keepLines/>
      <w:spacing w:line="180" w:lineRule="exact"/>
    </w:pPr>
    <w:rPr>
      <w:rFonts w:ascii="MS LineDraw" w:hAnsi="MS LineDraw"/>
      <w:lang w:val="en-GB" w:eastAsia="en-US" w:bidi="ar-SA"/>
    </w:rPr>
  </w:style>
  <w:style w:type="paragraph" w:customStyle="1" w:styleId="134">
    <w:name w:val="NW"/>
    <w:basedOn w:val="130"/>
    <w:uiPriority w:val="0"/>
    <w:pPr>
      <w:spacing w:after="0"/>
    </w:pPr>
  </w:style>
  <w:style w:type="paragraph" w:customStyle="1" w:styleId="135">
    <w:name w:val="EW"/>
    <w:basedOn w:val="131"/>
    <w:uiPriority w:val="0"/>
    <w:pPr>
      <w:spacing w:after="0"/>
    </w:pPr>
  </w:style>
  <w:style w:type="paragraph" w:customStyle="1" w:styleId="136">
    <w:name w:val="EQ"/>
    <w:basedOn w:val="1"/>
    <w:next w:val="1"/>
    <w:uiPriority w:val="0"/>
    <w:pPr>
      <w:keepLines/>
      <w:tabs>
        <w:tab w:val="center" w:pos="4536"/>
        <w:tab w:val="right" w:pos="9072"/>
      </w:tabs>
    </w:pPr>
  </w:style>
  <w:style w:type="paragraph" w:customStyle="1" w:styleId="137">
    <w:name w:val="NF"/>
    <w:basedOn w:val="130"/>
    <w:uiPriority w:val="0"/>
    <w:pPr>
      <w:keepNext/>
      <w:spacing w:after="0"/>
    </w:pPr>
    <w:rPr>
      <w:rFonts w:ascii="Arial" w:hAnsi="Arial"/>
      <w:sz w:val="18"/>
    </w:rPr>
  </w:style>
  <w:style w:type="paragraph" w:customStyle="1" w:styleId="138">
    <w:name w:val="PL"/>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bidi="ar-SA"/>
    </w:rPr>
  </w:style>
  <w:style w:type="paragraph" w:customStyle="1" w:styleId="139">
    <w:name w:val="TAR"/>
    <w:basedOn w:val="127"/>
    <w:uiPriority w:val="0"/>
    <w:pPr>
      <w:jc w:val="right"/>
    </w:pPr>
  </w:style>
  <w:style w:type="paragraph" w:customStyle="1" w:styleId="140">
    <w:name w:val="TAN"/>
    <w:basedOn w:val="127"/>
    <w:uiPriority w:val="0"/>
    <w:pPr>
      <w:ind w:left="851" w:hanging="851"/>
    </w:pPr>
  </w:style>
  <w:style w:type="paragraph" w:customStyle="1" w:styleId="141">
    <w:name w:val="ZA"/>
    <w:uiPriority w:val="0"/>
    <w:pPr>
      <w:framePr w:w="10206" w:h="794" w:hRule="exact" w:wrap="notBeside" w:vAnchor="page" w:hAnchor="margin" w:y="1135"/>
      <w:widowControl w:val="0"/>
      <w:pBdr>
        <w:bottom w:val="single" w:color="auto" w:sz="12" w:space="1"/>
      </w:pBdr>
      <w:jc w:val="right"/>
    </w:pPr>
    <w:rPr>
      <w:rFonts w:ascii="Arial" w:hAnsi="Arial"/>
      <w:sz w:val="40"/>
      <w:lang w:val="en-GB" w:eastAsia="en-US" w:bidi="ar-SA"/>
    </w:rPr>
  </w:style>
  <w:style w:type="paragraph" w:customStyle="1" w:styleId="142">
    <w:name w:val="ZB"/>
    <w:uiPriority w:val="0"/>
    <w:pPr>
      <w:framePr w:w="10206" w:h="284" w:hRule="exact" w:wrap="notBeside" w:vAnchor="page" w:hAnchor="margin" w:y="1986"/>
      <w:widowControl w:val="0"/>
      <w:ind w:right="28"/>
      <w:jc w:val="right"/>
    </w:pPr>
    <w:rPr>
      <w:rFonts w:ascii="Arial" w:hAnsi="Arial"/>
      <w:i/>
      <w:lang w:val="en-GB" w:eastAsia="en-US" w:bidi="ar-SA"/>
    </w:rPr>
  </w:style>
  <w:style w:type="paragraph" w:customStyle="1" w:styleId="143">
    <w:name w:val="ZD"/>
    <w:uiPriority w:val="0"/>
    <w:pPr>
      <w:framePr w:wrap="notBeside" w:vAnchor="page" w:hAnchor="margin" w:y="15764"/>
      <w:widowControl w:val="0"/>
    </w:pPr>
    <w:rPr>
      <w:rFonts w:ascii="Arial" w:hAnsi="Arial"/>
      <w:sz w:val="32"/>
      <w:lang w:val="en-GB" w:eastAsia="en-US" w:bidi="ar-SA"/>
    </w:rPr>
  </w:style>
  <w:style w:type="paragraph" w:customStyle="1" w:styleId="144">
    <w:name w:val="ZU"/>
    <w:uiPriority w:val="0"/>
    <w:pPr>
      <w:framePr w:w="10206" w:wrap="notBeside" w:vAnchor="page" w:hAnchor="margin" w:y="6238"/>
      <w:widowControl w:val="0"/>
      <w:pBdr>
        <w:top w:val="single" w:color="auto" w:sz="12" w:space="1"/>
      </w:pBdr>
      <w:jc w:val="right"/>
    </w:pPr>
    <w:rPr>
      <w:rFonts w:ascii="Arial" w:hAnsi="Arial"/>
      <w:lang w:val="en-GB" w:eastAsia="en-US" w:bidi="ar-SA"/>
    </w:rPr>
  </w:style>
  <w:style w:type="paragraph" w:customStyle="1" w:styleId="145">
    <w:name w:val="ZV"/>
    <w:basedOn w:val="144"/>
    <w:uiPriority w:val="0"/>
    <w:pPr>
      <w:framePr w:y="16161"/>
    </w:pPr>
  </w:style>
  <w:style w:type="character" w:customStyle="1" w:styleId="146">
    <w:name w:val="ZGSM"/>
    <w:uiPriority w:val="0"/>
  </w:style>
  <w:style w:type="paragraph" w:customStyle="1" w:styleId="147">
    <w:name w:val="ZG"/>
    <w:uiPriority w:val="0"/>
    <w:pPr>
      <w:framePr w:wrap="notBeside" w:vAnchor="page" w:hAnchor="margin" w:xAlign="right" w:y="6805"/>
      <w:widowControl w:val="0"/>
      <w:jc w:val="right"/>
    </w:pPr>
    <w:rPr>
      <w:rFonts w:ascii="Arial" w:hAnsi="Arial"/>
      <w:lang w:val="en-GB" w:eastAsia="en-US" w:bidi="ar-SA"/>
    </w:rPr>
  </w:style>
  <w:style w:type="paragraph" w:customStyle="1" w:styleId="148">
    <w:name w:val="Editor's Note"/>
    <w:basedOn w:val="130"/>
    <w:uiPriority w:val="0"/>
    <w:rPr>
      <w:color w:val="FF0000"/>
    </w:rPr>
  </w:style>
  <w:style w:type="paragraph" w:customStyle="1" w:styleId="149">
    <w:name w:val="B1"/>
    <w:basedOn w:val="15"/>
    <w:link w:val="150"/>
    <w:qFormat/>
    <w:uiPriority w:val="0"/>
  </w:style>
  <w:style w:type="character" w:customStyle="1" w:styleId="150">
    <w:name w:val="B1 Char"/>
    <w:link w:val="149"/>
    <w:qFormat/>
    <w:locked/>
    <w:uiPriority w:val="0"/>
    <w:rPr>
      <w:rFonts w:ascii="Times New Roman" w:hAnsi="Times New Roman"/>
      <w:lang w:val="en-GB" w:eastAsia="en-US"/>
    </w:rPr>
  </w:style>
  <w:style w:type="paragraph" w:customStyle="1" w:styleId="151">
    <w:name w:val="B2"/>
    <w:basedOn w:val="14"/>
    <w:uiPriority w:val="0"/>
  </w:style>
  <w:style w:type="paragraph" w:customStyle="1" w:styleId="152">
    <w:name w:val="B3"/>
    <w:basedOn w:val="13"/>
    <w:uiPriority w:val="0"/>
  </w:style>
  <w:style w:type="paragraph" w:customStyle="1" w:styleId="153">
    <w:name w:val="B4"/>
    <w:basedOn w:val="72"/>
    <w:uiPriority w:val="0"/>
  </w:style>
  <w:style w:type="paragraph" w:customStyle="1" w:styleId="154">
    <w:name w:val="B5"/>
    <w:basedOn w:val="71"/>
    <w:uiPriority w:val="0"/>
  </w:style>
  <w:style w:type="paragraph" w:customStyle="1" w:styleId="155">
    <w:name w:val="ZTD"/>
    <w:basedOn w:val="142"/>
    <w:uiPriority w:val="0"/>
    <w:pPr>
      <w:framePr w:hRule="auto" w:y="852"/>
    </w:pPr>
    <w:rPr>
      <w:i w:val="0"/>
      <w:sz w:val="40"/>
    </w:rPr>
  </w:style>
  <w:style w:type="paragraph" w:customStyle="1" w:styleId="156">
    <w:name w:val="CR Cover Page"/>
    <w:uiPriority w:val="0"/>
    <w:pPr>
      <w:spacing w:after="120"/>
    </w:pPr>
    <w:rPr>
      <w:rFonts w:ascii="Arial" w:hAnsi="Arial"/>
      <w:lang w:val="en-GB" w:eastAsia="en-US" w:bidi="ar-SA"/>
    </w:rPr>
  </w:style>
  <w:style w:type="paragraph" w:customStyle="1" w:styleId="157">
    <w:name w:val="tdoc-header"/>
    <w:uiPriority w:val="0"/>
    <w:rPr>
      <w:rFonts w:ascii="Arial" w:hAnsi="Arial"/>
      <w:sz w:val="24"/>
      <w:lang w:val="en-GB" w:eastAsia="en-US" w:bidi="ar-SA"/>
    </w:rPr>
  </w:style>
  <w:style w:type="paragraph" w:customStyle="1" w:styleId="158">
    <w:name w:val="code"/>
    <w:basedOn w:val="1"/>
    <w:uiPriority w:val="0"/>
    <w:pPr>
      <w:overflowPunct w:val="0"/>
      <w:autoSpaceDE w:val="0"/>
      <w:autoSpaceDN w:val="0"/>
      <w:adjustRightInd w:val="0"/>
      <w:spacing w:after="0"/>
      <w:textAlignment w:val="baseline"/>
    </w:pPr>
    <w:rPr>
      <w:rFonts w:ascii="Courier New" w:hAnsi="Courier New"/>
    </w:rPr>
  </w:style>
  <w:style w:type="character" w:customStyle="1" w:styleId="159">
    <w:name w:val="msoins"/>
    <w:basedOn w:val="90"/>
    <w:uiPriority w:val="0"/>
  </w:style>
  <w:style w:type="paragraph" w:customStyle="1" w:styleId="160">
    <w:name w:val="Reference"/>
    <w:basedOn w:val="1"/>
    <w:uiPriority w:val="0"/>
    <w:pPr>
      <w:tabs>
        <w:tab w:val="left" w:pos="851"/>
      </w:tabs>
      <w:ind w:left="851" w:hanging="851"/>
    </w:pPr>
  </w:style>
  <w:style w:type="paragraph" w:styleId="161">
    <w:name w:val=""/>
    <w:basedOn w:val="1"/>
    <w:next w:val="1"/>
    <w:unhideWhenUsed/>
    <w:uiPriority w:val="37"/>
  </w:style>
  <w:style w:type="paragraph" w:styleId="162">
    <w:name w:val="Intense Quote"/>
    <w:basedOn w:val="1"/>
    <w:next w:val="1"/>
    <w:link w:val="163"/>
    <w:qFormat/>
    <w:uiPriority w:val="30"/>
    <w:pPr>
      <w:pBdr>
        <w:top w:val="single" w:color="4472C4" w:sz="4" w:space="10"/>
        <w:bottom w:val="single" w:color="4472C4" w:sz="4" w:space="10"/>
      </w:pBdr>
      <w:spacing w:before="360" w:after="360"/>
      <w:ind w:left="864" w:right="864"/>
      <w:jc w:val="center"/>
    </w:pPr>
    <w:rPr>
      <w:i/>
      <w:iCs/>
      <w:color w:val="4472C4"/>
    </w:rPr>
  </w:style>
  <w:style w:type="character" w:customStyle="1" w:styleId="163">
    <w:name w:val="明显引用 Char"/>
    <w:link w:val="162"/>
    <w:uiPriority w:val="30"/>
    <w:rPr>
      <w:rFonts w:ascii="Times New Roman" w:hAnsi="Times New Roman"/>
      <w:i/>
      <w:iCs/>
      <w:color w:val="4472C4"/>
      <w:lang w:eastAsia="en-US"/>
    </w:rPr>
  </w:style>
  <w:style w:type="paragraph" w:styleId="164">
    <w:name w:val="List Paragraph"/>
    <w:basedOn w:val="1"/>
    <w:qFormat/>
    <w:uiPriority w:val="34"/>
    <w:pPr>
      <w:ind w:left="720"/>
    </w:pPr>
  </w:style>
  <w:style w:type="paragraph" w:styleId="165">
    <w:name w:val="No Spacing"/>
    <w:qFormat/>
    <w:uiPriority w:val="1"/>
    <w:rPr>
      <w:rFonts w:ascii="Times New Roman" w:hAnsi="Times New Roman"/>
      <w:lang w:val="en-GB" w:eastAsia="en-US" w:bidi="ar-SA"/>
    </w:rPr>
  </w:style>
  <w:style w:type="paragraph" w:styleId="166">
    <w:name w:val="Quote"/>
    <w:basedOn w:val="1"/>
    <w:next w:val="1"/>
    <w:link w:val="167"/>
    <w:qFormat/>
    <w:uiPriority w:val="29"/>
    <w:pPr>
      <w:spacing w:before="200" w:after="160"/>
      <w:ind w:left="864" w:right="864"/>
      <w:jc w:val="center"/>
    </w:pPr>
    <w:rPr>
      <w:i/>
      <w:iCs/>
      <w:color w:val="404040"/>
    </w:rPr>
  </w:style>
  <w:style w:type="character" w:customStyle="1" w:styleId="167">
    <w:name w:val="引用 Char"/>
    <w:link w:val="166"/>
    <w:uiPriority w:val="29"/>
    <w:rPr>
      <w:rFonts w:ascii="Times New Roman" w:hAnsi="Times New Roman"/>
      <w:i/>
      <w:iCs/>
      <w:color w:val="404040"/>
      <w:lang w:eastAsia="en-US"/>
    </w:rPr>
  </w:style>
  <w:style w:type="paragraph" w:styleId="168">
    <w:name w:val=""/>
    <w:basedOn w:val="3"/>
    <w:next w:val="1"/>
    <w:unhideWhenUsed/>
    <w:qFormat/>
    <w:uiPriority w:val="39"/>
    <w:pPr>
      <w:keepLines w:val="0"/>
      <w:pBdr>
        <w:top w:val="none" w:color="auto" w:sz="0" w:space="0"/>
      </w:pBdr>
      <w:spacing w:after="60"/>
      <w:ind w:left="0" w:firstLine="0"/>
      <w:outlineLvl w:val="9"/>
    </w:pPr>
    <w:rPr>
      <w:rFonts w:ascii="Calibri Light" w:hAnsi="Calibri Light" w:eastAsia="Times New Roman"/>
      <w:b/>
      <w:bCs/>
      <w:kern w:val="32"/>
      <w:sz w:val="32"/>
      <w:szCs w:val="32"/>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image" Target="media/image1.emf"/><Relationship Id="rId5" Type="http://schemas.openxmlformats.org/officeDocument/2006/relationships/oleObject" Target="embeddings/oleObject1.bin"/><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Template>
  <Company>3GPP Support Team</Company>
  <Pages>2</Pages>
  <Words>652</Words>
  <Characters>3717</Characters>
  <Lines>30</Lines>
  <Paragraphs>8</Paragraphs>
  <TotalTime>11</TotalTime>
  <ScaleCrop>false</ScaleCrop>
  <LinksUpToDate>false</LinksUpToDate>
  <CharactersWithSpaces>4361</CharactersWithSpaces>
  <Application>WPS Office_11.8.2.11824_F1E327BC-269C-435d-A152-05C5408002CA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2023-10-23T08:28:00Z</dcterms:created>
  <dc:creator>Michael Sanders, John M Meredith</dc:creator>
  <cp:lastModifiedBy>孙明锐</cp:lastModifiedBy>
  <dcterms:modified xsi:type="dcterms:W3CDTF">2023-11-03T04:10:20Z</dcterms:modified>
  <dc:title>3GPP Contribution</dc:title>
  <cp:revision>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KSOProductBuildVer">
    <vt:lpwstr>2052-11.8.2.11824</vt:lpwstr>
  </property>
  <property fmtid="{D5CDD505-2E9C-101B-9397-08002B2CF9AE}" pid="4" name="ICV">
    <vt:lpwstr>5B932D56F05447EB81AA6A9D93A8CAB0</vt:lpwstr>
  </property>
</Properties>
</file>